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jc w:val="center"/>
        <w:rPr>
          <w:rFonts w:ascii="方正小标宋简体" w:eastAsia="方正小标宋简体"/>
          <w:bCs/>
          <w:sz w:val="36"/>
          <w:szCs w:val="21"/>
        </w:rPr>
      </w:pPr>
      <w:r>
        <w:rPr>
          <w:rFonts w:hint="eastAsia" w:ascii="方正小标宋简体" w:eastAsia="方正小标宋简体"/>
          <w:bCs/>
          <w:sz w:val="36"/>
          <w:szCs w:val="21"/>
        </w:rPr>
        <w:t>202</w:t>
      </w:r>
      <w:r>
        <w:rPr>
          <w:rFonts w:ascii="方正小标宋简体" w:eastAsia="方正小标宋简体"/>
          <w:bCs/>
          <w:sz w:val="36"/>
          <w:szCs w:val="21"/>
        </w:rPr>
        <w:t>2</w:t>
      </w:r>
      <w:r>
        <w:rPr>
          <w:rFonts w:hint="eastAsia" w:ascii="方正小标宋简体" w:eastAsia="方正小标宋简体"/>
          <w:bCs/>
          <w:sz w:val="36"/>
          <w:szCs w:val="21"/>
        </w:rPr>
        <w:t>年度</w:t>
      </w:r>
      <w:r>
        <w:rPr>
          <w:rFonts w:hint="eastAsia" w:ascii="方正小标宋简体" w:eastAsia="方正小标宋简体"/>
          <w:bCs/>
          <w:sz w:val="36"/>
          <w:szCs w:val="21"/>
          <w:lang w:val="en-US" w:eastAsia="zh-CN"/>
        </w:rPr>
        <w:t>安徽</w:t>
      </w:r>
      <w:r>
        <w:rPr>
          <w:rFonts w:hint="eastAsia" w:ascii="方正小标宋简体" w:eastAsia="方正小标宋简体"/>
          <w:bCs/>
          <w:sz w:val="36"/>
          <w:szCs w:val="21"/>
        </w:rPr>
        <w:t>省</w:t>
      </w:r>
      <w:r>
        <w:rPr>
          <w:rFonts w:hint="eastAsia" w:ascii="方正小标宋简体" w:eastAsia="方正小标宋简体"/>
          <w:bCs/>
          <w:sz w:val="36"/>
          <w:szCs w:val="21"/>
          <w:lang w:val="en-US" w:eastAsia="zh-CN"/>
        </w:rPr>
        <w:t>技术发明</w:t>
      </w:r>
      <w:r>
        <w:rPr>
          <w:rFonts w:hint="eastAsia" w:ascii="方正小标宋简体" w:eastAsia="方正小标宋简体"/>
          <w:bCs/>
          <w:sz w:val="36"/>
          <w:szCs w:val="21"/>
        </w:rPr>
        <w:t>奖提名公示信息</w:t>
      </w:r>
    </w:p>
    <w:p>
      <w:pPr>
        <w:spacing w:before="156" w:beforeLines="50" w:after="156" w:afterLines="50" w:line="400" w:lineRule="exact"/>
        <w:jc w:val="center"/>
        <w:rPr>
          <w:rFonts w:ascii="方正小标宋简体" w:eastAsia="方正小标宋简体"/>
          <w:bCs/>
          <w:sz w:val="36"/>
          <w:szCs w:val="21"/>
        </w:rPr>
      </w:pPr>
      <w:r>
        <w:rPr>
          <w:rFonts w:hint="eastAsia" w:ascii="方正仿宋_GBK" w:eastAsia="方正仿宋_GBK"/>
          <w:sz w:val="28"/>
        </w:rPr>
        <w:t>项目名称、提名者及提名意见、项目简介、代表性论文专著目录、主要完成人（完成单位）</w:t>
      </w:r>
    </w:p>
    <w:tbl>
      <w:tblPr>
        <w:tblStyle w:val="8"/>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24"/>
        <w:gridCol w:w="1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2224" w:type="dxa"/>
            <w:vAlign w:val="center"/>
          </w:tcPr>
          <w:p>
            <w:pPr>
              <w:spacing w:line="240" w:lineRule="exact"/>
              <w:jc w:val="center"/>
              <w:rPr>
                <w:rFonts w:ascii="黑体" w:hAnsi="黑体" w:eastAsia="黑体" w:cs="黑体"/>
                <w:kern w:val="0"/>
                <w:sz w:val="22"/>
                <w:szCs w:val="20"/>
              </w:rPr>
            </w:pPr>
            <w:r>
              <w:rPr>
                <w:rFonts w:hint="eastAsia" w:ascii="黑体" w:hAnsi="黑体" w:eastAsia="黑体" w:cs="黑体"/>
                <w:kern w:val="0"/>
                <w:sz w:val="22"/>
                <w:szCs w:val="20"/>
              </w:rPr>
              <w:t>项目名称</w:t>
            </w:r>
          </w:p>
        </w:tc>
        <w:tc>
          <w:tcPr>
            <w:tcW w:w="11382" w:type="dxa"/>
            <w:vAlign w:val="center"/>
          </w:tcPr>
          <w:p>
            <w:pPr>
              <w:spacing w:line="240" w:lineRule="exact"/>
              <w:jc w:val="center"/>
              <w:rPr>
                <w:rFonts w:ascii="宋体" w:hAnsi="宋体" w:eastAsia="宋体" w:cs="黑体"/>
                <w:kern w:val="0"/>
                <w:sz w:val="21"/>
                <w:szCs w:val="21"/>
              </w:rPr>
            </w:pPr>
            <w:r>
              <w:rPr>
                <w:rFonts w:hint="eastAsia" w:ascii="宋体" w:hAnsi="宋体" w:eastAsia="宋体" w:cs="黑体"/>
                <w:kern w:val="0"/>
                <w:sz w:val="21"/>
                <w:szCs w:val="21"/>
              </w:rPr>
              <w:t>仿生动态双目视觉系统的视线控制原理及标定技术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2224" w:type="dxa"/>
            <w:vAlign w:val="center"/>
          </w:tcPr>
          <w:p>
            <w:pPr>
              <w:spacing w:line="240" w:lineRule="exact"/>
              <w:jc w:val="center"/>
              <w:rPr>
                <w:rFonts w:ascii="黑体" w:hAnsi="黑体" w:eastAsia="黑体" w:cs="黑体"/>
                <w:kern w:val="0"/>
                <w:sz w:val="22"/>
                <w:szCs w:val="20"/>
              </w:rPr>
            </w:pPr>
            <w:r>
              <w:rPr>
                <w:rFonts w:hint="eastAsia" w:ascii="黑体" w:hAnsi="黑体" w:eastAsia="黑体" w:cs="黑体"/>
                <w:kern w:val="0"/>
                <w:sz w:val="22"/>
                <w:szCs w:val="20"/>
              </w:rPr>
              <w:t>提名单位</w:t>
            </w:r>
          </w:p>
        </w:tc>
        <w:tc>
          <w:tcPr>
            <w:tcW w:w="11382" w:type="dxa"/>
            <w:vAlign w:val="center"/>
          </w:tcPr>
          <w:p>
            <w:pPr>
              <w:spacing w:line="240" w:lineRule="exact"/>
              <w:jc w:val="center"/>
              <w:rPr>
                <w:rFonts w:ascii="宋体" w:hAnsi="宋体" w:eastAsia="宋体" w:cs="宋体"/>
                <w:kern w:val="0"/>
                <w:sz w:val="21"/>
                <w:szCs w:val="21"/>
              </w:rPr>
            </w:pPr>
            <w:r>
              <w:rPr>
                <w:rFonts w:hint="eastAsia" w:ascii="宋体" w:hAnsi="宋体" w:eastAsia="宋体" w:cs="宋体"/>
                <w:kern w:val="0"/>
                <w:sz w:val="21"/>
                <w:szCs w:val="21"/>
              </w:rPr>
              <w:t>合肥市科技局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3" w:hRule="atLeast"/>
          <w:jc w:val="center"/>
        </w:trPr>
        <w:tc>
          <w:tcPr>
            <w:tcW w:w="2224" w:type="dxa"/>
            <w:vAlign w:val="center"/>
          </w:tcPr>
          <w:p>
            <w:pPr>
              <w:spacing w:line="240" w:lineRule="exact"/>
              <w:jc w:val="center"/>
              <w:rPr>
                <w:rFonts w:ascii="黑体" w:hAnsi="黑体" w:eastAsia="黑体" w:cs="黑体"/>
                <w:kern w:val="0"/>
                <w:sz w:val="22"/>
                <w:szCs w:val="20"/>
              </w:rPr>
            </w:pPr>
            <w:r>
              <w:rPr>
                <w:rFonts w:hint="eastAsia" w:ascii="黑体" w:hAnsi="黑体" w:eastAsia="黑体" w:cs="黑体"/>
                <w:kern w:val="0"/>
                <w:sz w:val="22"/>
                <w:szCs w:val="20"/>
              </w:rPr>
              <w:t>提名意见</w:t>
            </w:r>
          </w:p>
        </w:tc>
        <w:tc>
          <w:tcPr>
            <w:tcW w:w="11382" w:type="dxa"/>
            <w:vAlign w:val="center"/>
          </w:tcPr>
          <w:p>
            <w:pPr>
              <w:spacing w:line="240" w:lineRule="exact"/>
              <w:ind w:firstLine="440" w:firstLineChars="200"/>
              <w:jc w:val="both"/>
              <w:rPr>
                <w:rFonts w:hint="eastAsia" w:eastAsia="宋体" w:cs="Times New Roman"/>
                <w:bCs/>
                <w:color w:val="000000"/>
                <w:kern w:val="0"/>
                <w:sz w:val="22"/>
                <w:szCs w:val="22"/>
                <w:lang w:bidi="ar"/>
              </w:rPr>
            </w:pPr>
            <w:r>
              <w:rPr>
                <w:rFonts w:hint="eastAsia" w:eastAsia="宋体" w:cs="Times New Roman"/>
                <w:bCs/>
                <w:color w:val="000000"/>
                <w:kern w:val="0"/>
                <w:sz w:val="22"/>
                <w:szCs w:val="22"/>
                <w:lang w:bidi="ar"/>
              </w:rPr>
              <w:t>该项目构建了双眼运动控制神经系统的数学模型，实现了既可快速追踪和切换注视目标，又可高精度保持双眼相对位姿稳定的双眼运动控制功能。通过自研算法计算双目的相对位姿误差，并由电机或图像渲染自动修正，开发了全自动3D拍摄系统。通过模拟神经积分器的漏积分模型,设计了高频域惯性觉前馈和低频域视觉反馈的仿生融合控制模式，实现了仿生眼在激烈运动的条件下能够完成对目标注视、跟踪和切换等综合运动控制的能力。构建了基于仿生眼为前端采集系统框架，开发出可应用于仿生眼的各种视觉处理算法，实现了三维重建、导航（SLAM）、语义识别等功能。</w:t>
            </w:r>
          </w:p>
          <w:p>
            <w:pPr>
              <w:spacing w:line="240" w:lineRule="exact"/>
              <w:ind w:firstLine="440" w:firstLineChars="200"/>
              <w:jc w:val="both"/>
              <w:rPr>
                <w:rFonts w:hint="eastAsia" w:eastAsia="宋体" w:cs="Times New Roman"/>
                <w:bCs/>
                <w:color w:val="000000"/>
                <w:kern w:val="0"/>
                <w:sz w:val="22"/>
                <w:szCs w:val="22"/>
                <w:lang w:bidi="ar"/>
              </w:rPr>
            </w:pPr>
            <w:r>
              <w:rPr>
                <w:rFonts w:hint="eastAsia" w:eastAsia="宋体" w:cs="Times New Roman"/>
                <w:bCs/>
                <w:color w:val="000000"/>
                <w:kern w:val="0"/>
                <w:sz w:val="22"/>
                <w:szCs w:val="22"/>
                <w:lang w:bidi="ar"/>
              </w:rPr>
              <w:t>该项目技术共获得中、美、日、欧、印等多国专利授权31项，发表了包括获奖、顶会、顶刊在内论文30余篇。该技术可作为未来水路空移动载具自动驾驶和自主行驶的关键视觉手段。利用标准辅辏原理开发的3D影视拍摄系统BinoQ-P系列是全球唯一可全自动校正3D几何误差的产品，该产品拍摄的作品获得了包括3D影视最高奖卢米埃奖在内的多项3D影视领域的重要奖项。利用标准辅辏原理的国际首创双目视觉传感器已在地铁和高铁弓网监测领域得到成功应用，该产品正在向全国推广。</w:t>
            </w:r>
          </w:p>
          <w:p>
            <w:pPr>
              <w:spacing w:line="240" w:lineRule="exact"/>
              <w:ind w:firstLine="440" w:firstLineChars="200"/>
              <w:jc w:val="both"/>
              <w:rPr>
                <w:rFonts w:ascii="宋体" w:hAnsi="宋体" w:eastAsia="宋体" w:cs="宋体"/>
                <w:bCs/>
                <w:color w:val="000000"/>
                <w:kern w:val="0"/>
                <w:sz w:val="22"/>
                <w:szCs w:val="22"/>
                <w:lang w:bidi="ar"/>
              </w:rPr>
            </w:pPr>
            <w:r>
              <w:rPr>
                <w:rFonts w:hint="eastAsia" w:eastAsia="宋体" w:cs="Times New Roman"/>
                <w:bCs/>
                <w:color w:val="000000"/>
                <w:kern w:val="0"/>
                <w:sz w:val="22"/>
                <w:szCs w:val="22"/>
                <w:lang w:bidi="ar"/>
              </w:rPr>
              <w:t>项目材料填写规范，内容真实，经公示无异议。对照安徽省技术发明奖授奖条件，提名该项目为</w:t>
            </w:r>
            <w:r>
              <w:rPr>
                <w:rFonts w:hint="eastAsia" w:eastAsia="宋体" w:cs="Times New Roman"/>
                <w:bCs/>
                <w:color w:val="000000"/>
                <w:kern w:val="0"/>
                <w:sz w:val="22"/>
                <w:szCs w:val="22"/>
                <w:lang w:val="en-US" w:eastAsia="zh-CN" w:bidi="ar"/>
              </w:rPr>
              <w:t>2022年度</w:t>
            </w:r>
            <w:r>
              <w:rPr>
                <w:rFonts w:hint="eastAsia" w:eastAsia="宋体" w:cs="Times New Roman"/>
                <w:bCs/>
                <w:color w:val="000000"/>
                <w:kern w:val="0"/>
                <w:sz w:val="22"/>
                <w:szCs w:val="22"/>
                <w:lang w:bidi="ar"/>
              </w:rPr>
              <w:t>安徽省技术发明奖。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2224" w:type="dxa"/>
            <w:vAlign w:val="center"/>
          </w:tcPr>
          <w:p>
            <w:pPr>
              <w:spacing w:line="240" w:lineRule="exact"/>
              <w:jc w:val="center"/>
              <w:rPr>
                <w:kern w:val="0"/>
                <w:sz w:val="22"/>
                <w:szCs w:val="20"/>
              </w:rPr>
            </w:pPr>
            <w:r>
              <w:rPr>
                <w:rFonts w:hint="eastAsia" w:ascii="黑体" w:hAnsi="黑体" w:eastAsia="黑体" w:cs="黑体"/>
                <w:kern w:val="0"/>
                <w:sz w:val="22"/>
                <w:szCs w:val="20"/>
              </w:rPr>
              <w:t>项目简介</w:t>
            </w:r>
          </w:p>
        </w:tc>
        <w:tc>
          <w:tcPr>
            <w:tcW w:w="11382" w:type="dxa"/>
            <w:vAlign w:val="center"/>
          </w:tcPr>
          <w:p>
            <w:pPr>
              <w:spacing w:line="24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本项目属于机器视觉技术领域的基础及应用研究。</w:t>
            </w:r>
          </w:p>
          <w:p>
            <w:pPr>
              <w:spacing w:line="24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机器视觉在工业领域发挥着不可替代的作用。中国工业机器视觉产业发展白皮书认为，3D视觉将成为智能制造最炙手可热的技术之一，成为“继黑白到彩色、低分辨率到高分辨率、静态图像到动态影像后的第四次视觉技术突破”。“双目”是3D视觉的主要形式，“仿生眼”又称仿生双目，是再现人类双眼功能的动态立体视觉系统，是双目视觉的高级形态。</w:t>
            </w:r>
          </w:p>
          <w:p>
            <w:pPr>
              <w:spacing w:line="240" w:lineRule="exact"/>
              <w:ind w:firstLine="420" w:firstLineChars="200"/>
              <w:rPr>
                <w:rFonts w:ascii="宋体" w:hAnsi="宋体" w:eastAsia="宋体" w:cs="宋体"/>
                <w:kern w:val="0"/>
                <w:sz w:val="21"/>
                <w:szCs w:val="21"/>
              </w:rPr>
            </w:pPr>
            <w:r>
              <w:rPr>
                <w:rFonts w:hint="eastAsia" w:ascii="宋体" w:hAnsi="宋体" w:eastAsia="宋体" w:cs="宋体"/>
                <w:kern w:val="0"/>
                <w:sz w:val="21"/>
                <w:szCs w:val="21"/>
              </w:rPr>
              <w:t>目前世界上所有具有立体视觉功能的双目产品，其像机之间的位姿都是固定的，因此也称为固定双目。为了提高3D测量精度、识别准确率、以及观测的灵活性，必须要让机器双目像动物的双眼一样动起来。本项目提出了一系列双目视线控制及动态标定的理论、原理和算法，使仿生眼在具备固定双目的全部立体视觉能力的前提下动了起来。实验证明，仿生眼比固定双目看得更远、更准、更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224" w:type="dxa"/>
            <w:vAlign w:val="center"/>
          </w:tcPr>
          <w:p>
            <w:pPr>
              <w:spacing w:line="280" w:lineRule="exact"/>
              <w:jc w:val="center"/>
              <w:rPr>
                <w:rFonts w:ascii="黑体" w:hAnsi="黑体" w:eastAsia="黑体" w:cs="黑体"/>
                <w:kern w:val="0"/>
                <w:sz w:val="22"/>
                <w:szCs w:val="20"/>
              </w:rPr>
            </w:pPr>
            <w:r>
              <w:rPr>
                <w:rFonts w:hint="eastAsia" w:ascii="黑体" w:hAnsi="黑体" w:eastAsia="黑体" w:cs="黑体"/>
                <w:kern w:val="0"/>
                <w:sz w:val="22"/>
                <w:szCs w:val="20"/>
              </w:rPr>
              <w:t>主要完成人</w:t>
            </w:r>
          </w:p>
          <w:p>
            <w:pPr>
              <w:spacing w:line="280" w:lineRule="exact"/>
              <w:jc w:val="center"/>
              <w:rPr>
                <w:kern w:val="0"/>
                <w:sz w:val="22"/>
                <w:szCs w:val="20"/>
                <w:highlight w:val="yellow"/>
              </w:rPr>
            </w:pPr>
            <w:r>
              <w:rPr>
                <w:rFonts w:hint="eastAsia" w:ascii="黑体" w:hAnsi="黑体" w:eastAsia="黑体" w:cs="黑体"/>
                <w:kern w:val="0"/>
                <w:sz w:val="22"/>
                <w:szCs w:val="20"/>
              </w:rPr>
              <w:t>（完成单位）</w:t>
            </w:r>
          </w:p>
        </w:tc>
        <w:tc>
          <w:tcPr>
            <w:tcW w:w="11382" w:type="dxa"/>
            <w:vAlign w:val="center"/>
          </w:tcPr>
          <w:p>
            <w:pPr>
              <w:spacing w:line="24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主要完成人：</w:t>
            </w:r>
            <w:r>
              <w:rPr>
                <w:rFonts w:hint="eastAsia" w:ascii="宋体" w:hAnsi="宋体" w:eastAsia="宋体" w:cs="宋体"/>
                <w:kern w:val="0"/>
                <w:sz w:val="21"/>
                <w:szCs w:val="21"/>
              </w:rPr>
              <w:t>张晓林、李嘉茂、王磊、王开放、朱冬晨、高岩</w:t>
            </w:r>
          </w:p>
          <w:p>
            <w:pPr>
              <w:spacing w:line="240" w:lineRule="exact"/>
              <w:ind w:firstLine="420" w:firstLineChars="200"/>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完成单位：安徽爱观视觉科技有限公司、中国科学院上海微系统与信息技术研究所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3606" w:type="dxa"/>
            <w:gridSpan w:val="2"/>
            <w:vAlign w:val="center"/>
          </w:tcPr>
          <w:tbl>
            <w:tblPr>
              <w:tblStyle w:val="8"/>
              <w:tblpPr w:leftFromText="180" w:rightFromText="180" w:vertAnchor="text" w:horzAnchor="page" w:tblpX="-13" w:tblpY="365"/>
              <w:tblOverlap w:val="never"/>
              <w:tblW w:w="13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7"/>
              <w:gridCol w:w="3173"/>
              <w:gridCol w:w="1133"/>
              <w:gridCol w:w="1733"/>
              <w:gridCol w:w="1317"/>
              <w:gridCol w:w="1192"/>
              <w:gridCol w:w="1391"/>
              <w:gridCol w:w="1550"/>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trPr>
              <w:tc>
                <w:tcPr>
                  <w:tcW w:w="1177" w:type="dxa"/>
                  <w:vAlign w:val="center"/>
                </w:tcPr>
                <w:p>
                  <w:pPr>
                    <w:pStyle w:val="6"/>
                    <w:widowControl w:val="0"/>
                    <w:adjustRightInd w:val="0"/>
                    <w:spacing w:line="240" w:lineRule="exact"/>
                    <w:jc w:val="center"/>
                    <w:rPr>
                      <w:rFonts w:hint="eastAsia" w:eastAsia="黑体" w:cs="Times New Roman"/>
                      <w:color w:val="000000"/>
                      <w:kern w:val="0"/>
                      <w:sz w:val="18"/>
                      <w:szCs w:val="18"/>
                      <w:lang w:val="en-US" w:eastAsia="zh-Hans" w:bidi="ar"/>
                    </w:rPr>
                  </w:pPr>
                  <w:r>
                    <w:rPr>
                      <w:rFonts w:hint="eastAsia" w:eastAsia="黑体" w:cs="Times New Roman"/>
                      <w:color w:val="000000"/>
                      <w:kern w:val="0"/>
                      <w:sz w:val="18"/>
                      <w:szCs w:val="18"/>
                      <w:lang w:val="en-US" w:eastAsia="zh-Hans" w:bidi="ar"/>
                    </w:rPr>
                    <w:t>知识产权</w:t>
                  </w:r>
                  <w:r>
                    <w:rPr>
                      <w:rFonts w:hint="default" w:eastAsia="黑体" w:cs="Times New Roman"/>
                      <w:color w:val="000000"/>
                      <w:kern w:val="0"/>
                      <w:sz w:val="18"/>
                      <w:szCs w:val="18"/>
                      <w:lang w:eastAsia="zh-Hans" w:bidi="ar"/>
                    </w:rPr>
                    <w:t>（</w:t>
                  </w:r>
                  <w:r>
                    <w:rPr>
                      <w:rFonts w:hint="eastAsia" w:eastAsia="黑体" w:cs="Times New Roman"/>
                      <w:color w:val="000000"/>
                      <w:kern w:val="0"/>
                      <w:sz w:val="18"/>
                      <w:szCs w:val="18"/>
                      <w:lang w:val="en-US" w:eastAsia="zh-Hans" w:bidi="ar"/>
                    </w:rPr>
                    <w:t>标准</w:t>
                  </w:r>
                  <w:r>
                    <w:rPr>
                      <w:rFonts w:hint="default" w:eastAsia="黑体" w:cs="Times New Roman"/>
                      <w:color w:val="000000"/>
                      <w:kern w:val="0"/>
                      <w:sz w:val="18"/>
                      <w:szCs w:val="18"/>
                      <w:lang w:eastAsia="zh-Hans" w:bidi="ar"/>
                    </w:rPr>
                    <w:t>）</w:t>
                  </w:r>
                  <w:r>
                    <w:rPr>
                      <w:rFonts w:hint="eastAsia" w:eastAsia="黑体" w:cs="Times New Roman"/>
                      <w:color w:val="000000"/>
                      <w:kern w:val="0"/>
                      <w:sz w:val="18"/>
                      <w:szCs w:val="18"/>
                      <w:lang w:val="en-US" w:eastAsia="zh-Hans" w:bidi="ar"/>
                    </w:rPr>
                    <w:t>类别</w:t>
                  </w:r>
                </w:p>
              </w:tc>
              <w:tc>
                <w:tcPr>
                  <w:tcW w:w="3173" w:type="dxa"/>
                  <w:vAlign w:val="center"/>
                </w:tcPr>
                <w:p>
                  <w:pPr>
                    <w:spacing w:line="240" w:lineRule="auto"/>
                    <w:jc w:val="center"/>
                    <w:rPr>
                      <w:rFonts w:eastAsia="黑体" w:cs="Times New Roman"/>
                      <w:color w:val="000000"/>
                      <w:kern w:val="0"/>
                      <w:sz w:val="18"/>
                      <w:szCs w:val="18"/>
                      <w:lang w:bidi="ar"/>
                    </w:rPr>
                  </w:pPr>
                  <w:r>
                    <w:rPr>
                      <w:rFonts w:hint="eastAsia" w:ascii="Times New Roman" w:hAnsi="Times New Roman" w:eastAsia="黑体" w:cs="Times New Roman"/>
                      <w:color w:val="000000"/>
                      <w:kern w:val="0"/>
                      <w:sz w:val="18"/>
                      <w:szCs w:val="18"/>
                      <w:lang w:val="en-US" w:eastAsia="zh-Hans" w:bidi="ar"/>
                    </w:rPr>
                    <w:t>知识产权</w:t>
                  </w:r>
                  <w:r>
                    <w:rPr>
                      <w:rFonts w:hint="default" w:ascii="Times New Roman" w:hAnsi="Times New Roman" w:eastAsia="黑体" w:cs="Times New Roman"/>
                      <w:color w:val="000000"/>
                      <w:kern w:val="0"/>
                      <w:sz w:val="18"/>
                      <w:szCs w:val="18"/>
                      <w:lang w:val="en-US" w:eastAsia="zh-Hans" w:bidi="ar"/>
                    </w:rPr>
                    <w:t>（</w:t>
                  </w:r>
                  <w:r>
                    <w:rPr>
                      <w:rFonts w:hint="eastAsia" w:ascii="Times New Roman" w:hAnsi="Times New Roman" w:eastAsia="黑体" w:cs="Times New Roman"/>
                      <w:color w:val="000000"/>
                      <w:kern w:val="0"/>
                      <w:sz w:val="18"/>
                      <w:szCs w:val="18"/>
                      <w:lang w:val="en-US" w:eastAsia="zh-Hans" w:bidi="ar"/>
                    </w:rPr>
                    <w:t>标准</w:t>
                  </w:r>
                  <w:r>
                    <w:rPr>
                      <w:rFonts w:hint="default" w:ascii="Times New Roman" w:hAnsi="Times New Roman" w:eastAsia="黑体" w:cs="Times New Roman"/>
                      <w:color w:val="000000"/>
                      <w:kern w:val="0"/>
                      <w:sz w:val="18"/>
                      <w:szCs w:val="18"/>
                      <w:lang w:val="en-US" w:eastAsia="zh-Hans" w:bidi="ar"/>
                    </w:rPr>
                    <w:t>）</w:t>
                  </w:r>
                  <w:r>
                    <w:rPr>
                      <w:rFonts w:hint="eastAsia" w:ascii="Times New Roman" w:hAnsi="Times New Roman" w:eastAsia="黑体" w:cs="Times New Roman"/>
                      <w:color w:val="000000"/>
                      <w:kern w:val="0"/>
                      <w:sz w:val="18"/>
                      <w:szCs w:val="18"/>
                      <w:lang w:val="en-US" w:eastAsia="zh-Hans" w:bidi="ar"/>
                    </w:rPr>
                    <w:t>具体名称</w:t>
                  </w:r>
                </w:p>
              </w:tc>
              <w:tc>
                <w:tcPr>
                  <w:tcW w:w="1133" w:type="dxa"/>
                  <w:vAlign w:val="center"/>
                </w:tcPr>
                <w:p>
                  <w:pPr>
                    <w:jc w:val="center"/>
                    <w:rPr>
                      <w:rFonts w:hint="eastAsia" w:eastAsia="黑体" w:cs="Times New Roman"/>
                      <w:color w:val="000000"/>
                      <w:kern w:val="0"/>
                      <w:sz w:val="18"/>
                      <w:szCs w:val="18"/>
                      <w:lang w:val="en-US" w:eastAsia="zh-Hans" w:bidi="ar"/>
                    </w:rPr>
                  </w:pPr>
                  <w:r>
                    <w:rPr>
                      <w:rFonts w:hint="eastAsia" w:eastAsia="黑体" w:cs="Times New Roman"/>
                      <w:color w:val="000000"/>
                      <w:kern w:val="0"/>
                      <w:sz w:val="18"/>
                      <w:szCs w:val="18"/>
                      <w:lang w:val="en-US" w:eastAsia="zh-Hans" w:bidi="ar"/>
                    </w:rPr>
                    <w:t>国家</w:t>
                  </w:r>
                  <w:r>
                    <w:rPr>
                      <w:rFonts w:hint="default" w:eastAsia="黑体" w:cs="Times New Roman"/>
                      <w:color w:val="000000"/>
                      <w:kern w:val="0"/>
                      <w:sz w:val="18"/>
                      <w:szCs w:val="18"/>
                      <w:lang w:eastAsia="zh-Hans" w:bidi="ar"/>
                    </w:rPr>
                    <w:t>（</w:t>
                  </w:r>
                  <w:r>
                    <w:rPr>
                      <w:rFonts w:hint="eastAsia" w:eastAsia="黑体" w:cs="Times New Roman"/>
                      <w:color w:val="000000"/>
                      <w:kern w:val="0"/>
                      <w:sz w:val="18"/>
                      <w:szCs w:val="18"/>
                      <w:lang w:val="en-US" w:eastAsia="zh-Hans" w:bidi="ar"/>
                    </w:rPr>
                    <w:t>地区</w:t>
                  </w:r>
                  <w:r>
                    <w:rPr>
                      <w:rFonts w:hint="default" w:eastAsia="黑体" w:cs="Times New Roman"/>
                      <w:color w:val="000000"/>
                      <w:kern w:val="0"/>
                      <w:sz w:val="18"/>
                      <w:szCs w:val="18"/>
                      <w:lang w:eastAsia="zh-Hans" w:bidi="ar"/>
                    </w:rPr>
                    <w:t>）</w:t>
                  </w:r>
                </w:p>
              </w:tc>
              <w:tc>
                <w:tcPr>
                  <w:tcW w:w="1733" w:type="dxa"/>
                  <w:vAlign w:val="center"/>
                </w:tcPr>
                <w:p>
                  <w:pPr>
                    <w:spacing w:line="240" w:lineRule="auto"/>
                    <w:jc w:val="center"/>
                    <w:rPr>
                      <w:rFonts w:eastAsia="黑体" w:cs="Times New Roman"/>
                      <w:color w:val="000000"/>
                      <w:kern w:val="0"/>
                      <w:sz w:val="18"/>
                      <w:szCs w:val="18"/>
                      <w:lang w:bidi="ar"/>
                    </w:rPr>
                  </w:pPr>
                  <w:r>
                    <w:rPr>
                      <w:rFonts w:hint="eastAsia" w:eastAsia="黑体" w:cs="Times New Roman"/>
                      <w:color w:val="000000"/>
                      <w:kern w:val="2"/>
                      <w:sz w:val="18"/>
                      <w:szCs w:val="18"/>
                      <w:lang w:val="en-US" w:eastAsia="zh-Hans" w:bidi="ar"/>
                    </w:rPr>
                    <w:t>授权号</w:t>
                  </w:r>
                  <w:r>
                    <w:rPr>
                      <w:rFonts w:hint="default" w:eastAsia="黑体" w:cs="Times New Roman"/>
                      <w:color w:val="000000"/>
                      <w:kern w:val="2"/>
                      <w:sz w:val="18"/>
                      <w:szCs w:val="18"/>
                      <w:lang w:eastAsia="zh-Hans" w:bidi="ar"/>
                    </w:rPr>
                    <w:t>（</w:t>
                  </w:r>
                  <w:r>
                    <w:rPr>
                      <w:rFonts w:hint="eastAsia" w:eastAsia="黑体" w:cs="Times New Roman"/>
                      <w:color w:val="000000"/>
                      <w:kern w:val="2"/>
                      <w:sz w:val="18"/>
                      <w:szCs w:val="18"/>
                      <w:lang w:val="en-US" w:eastAsia="zh-Hans" w:bidi="ar"/>
                    </w:rPr>
                    <w:t>标准编号</w:t>
                  </w:r>
                  <w:r>
                    <w:rPr>
                      <w:rFonts w:eastAsia="黑体" w:cs="Times New Roman"/>
                      <w:color w:val="000000"/>
                      <w:kern w:val="2"/>
                      <w:sz w:val="18"/>
                      <w:szCs w:val="18"/>
                      <w:lang w:bidi="ar"/>
                    </w:rPr>
                    <w:t>）</w:t>
                  </w:r>
                </w:p>
              </w:tc>
              <w:tc>
                <w:tcPr>
                  <w:tcW w:w="1317" w:type="dxa"/>
                  <w:vAlign w:val="center"/>
                </w:tcPr>
                <w:p>
                  <w:pPr>
                    <w:spacing w:line="240" w:lineRule="auto"/>
                    <w:jc w:val="center"/>
                    <w:rPr>
                      <w:rFonts w:hint="eastAsia" w:eastAsia="黑体" w:cs="Times New Roman"/>
                      <w:color w:val="000000"/>
                      <w:kern w:val="0"/>
                      <w:sz w:val="18"/>
                      <w:szCs w:val="18"/>
                      <w:lang w:val="en-US" w:eastAsia="zh-Hans" w:bidi="ar"/>
                    </w:rPr>
                  </w:pPr>
                  <w:r>
                    <w:rPr>
                      <w:rFonts w:hint="eastAsia" w:eastAsia="黑体" w:cs="Times New Roman"/>
                      <w:color w:val="000000"/>
                      <w:kern w:val="0"/>
                      <w:sz w:val="18"/>
                      <w:szCs w:val="18"/>
                      <w:lang w:val="en-US" w:eastAsia="zh-Hans" w:bidi="ar"/>
                    </w:rPr>
                    <w:t>授权</w:t>
                  </w:r>
                  <w:r>
                    <w:rPr>
                      <w:rFonts w:hint="default" w:eastAsia="黑体" w:cs="Times New Roman"/>
                      <w:color w:val="000000"/>
                      <w:kern w:val="0"/>
                      <w:sz w:val="18"/>
                      <w:szCs w:val="18"/>
                      <w:lang w:eastAsia="zh-Hans" w:bidi="ar"/>
                    </w:rPr>
                    <w:t>（</w:t>
                  </w:r>
                  <w:r>
                    <w:rPr>
                      <w:rFonts w:hint="eastAsia" w:eastAsia="黑体" w:cs="Times New Roman"/>
                      <w:color w:val="000000"/>
                      <w:kern w:val="0"/>
                      <w:sz w:val="18"/>
                      <w:szCs w:val="18"/>
                      <w:lang w:val="en-US" w:eastAsia="zh-Hans" w:bidi="ar"/>
                    </w:rPr>
                    <w:t>标准发布</w:t>
                  </w:r>
                  <w:r>
                    <w:rPr>
                      <w:rFonts w:hint="default" w:eastAsia="黑体" w:cs="Times New Roman"/>
                      <w:color w:val="000000"/>
                      <w:kern w:val="0"/>
                      <w:sz w:val="18"/>
                      <w:szCs w:val="18"/>
                      <w:lang w:eastAsia="zh-Hans" w:bidi="ar"/>
                    </w:rPr>
                    <w:t>）</w:t>
                  </w:r>
                  <w:r>
                    <w:rPr>
                      <w:rFonts w:hint="eastAsia" w:eastAsia="黑体" w:cs="Times New Roman"/>
                      <w:color w:val="000000"/>
                      <w:kern w:val="0"/>
                      <w:sz w:val="18"/>
                      <w:szCs w:val="18"/>
                      <w:lang w:val="en-US" w:eastAsia="zh-Hans" w:bidi="ar"/>
                    </w:rPr>
                    <w:t>日期</w:t>
                  </w:r>
                </w:p>
              </w:tc>
              <w:tc>
                <w:tcPr>
                  <w:tcW w:w="1192" w:type="dxa"/>
                  <w:vAlign w:val="center"/>
                </w:tcPr>
                <w:p>
                  <w:pPr>
                    <w:spacing w:line="240" w:lineRule="auto"/>
                    <w:jc w:val="center"/>
                    <w:rPr>
                      <w:rFonts w:hint="eastAsia" w:eastAsia="黑体" w:cs="Times New Roman"/>
                      <w:color w:val="000000"/>
                      <w:kern w:val="0"/>
                      <w:sz w:val="18"/>
                      <w:szCs w:val="18"/>
                      <w:lang w:val="en-US" w:eastAsia="zh-Hans" w:bidi="ar"/>
                    </w:rPr>
                  </w:pPr>
                  <w:r>
                    <w:rPr>
                      <w:rFonts w:hint="eastAsia" w:eastAsia="黑体" w:cs="Times New Roman"/>
                      <w:color w:val="000000"/>
                      <w:kern w:val="0"/>
                      <w:sz w:val="18"/>
                      <w:szCs w:val="18"/>
                      <w:lang w:val="en-US" w:eastAsia="zh-Hans" w:bidi="ar"/>
                    </w:rPr>
                    <w:t>证书编号</w:t>
                  </w:r>
                  <w:r>
                    <w:rPr>
                      <w:rFonts w:hint="default" w:eastAsia="黑体" w:cs="Times New Roman"/>
                      <w:color w:val="000000"/>
                      <w:kern w:val="0"/>
                      <w:sz w:val="18"/>
                      <w:szCs w:val="18"/>
                      <w:lang w:eastAsia="zh-Hans" w:bidi="ar"/>
                    </w:rPr>
                    <w:t>（</w:t>
                  </w:r>
                  <w:r>
                    <w:rPr>
                      <w:rFonts w:hint="eastAsia" w:eastAsia="黑体" w:cs="Times New Roman"/>
                      <w:color w:val="000000"/>
                      <w:kern w:val="0"/>
                      <w:sz w:val="18"/>
                      <w:szCs w:val="18"/>
                      <w:lang w:val="en-US" w:eastAsia="zh-Hans" w:bidi="ar"/>
                    </w:rPr>
                    <w:t>标准批准发布部门</w:t>
                  </w:r>
                  <w:r>
                    <w:rPr>
                      <w:rFonts w:hint="default" w:eastAsia="黑体" w:cs="Times New Roman"/>
                      <w:color w:val="000000"/>
                      <w:kern w:val="0"/>
                      <w:sz w:val="18"/>
                      <w:szCs w:val="18"/>
                      <w:lang w:eastAsia="zh-Hans" w:bidi="ar"/>
                    </w:rPr>
                    <w:t>）</w:t>
                  </w:r>
                </w:p>
              </w:tc>
              <w:tc>
                <w:tcPr>
                  <w:tcW w:w="1391" w:type="dxa"/>
                  <w:vAlign w:val="center"/>
                </w:tcPr>
                <w:p>
                  <w:pPr>
                    <w:spacing w:line="240" w:lineRule="auto"/>
                    <w:jc w:val="both"/>
                    <w:rPr>
                      <w:rFonts w:hint="eastAsia" w:eastAsia="黑体" w:cs="Times New Roman"/>
                      <w:color w:val="000000"/>
                      <w:kern w:val="0"/>
                      <w:sz w:val="18"/>
                      <w:szCs w:val="18"/>
                      <w:lang w:val="en-US" w:eastAsia="zh-Hans" w:bidi="ar"/>
                    </w:rPr>
                  </w:pPr>
                  <w:r>
                    <w:rPr>
                      <w:rFonts w:hint="eastAsia" w:eastAsia="黑体" w:cs="Times New Roman"/>
                      <w:color w:val="000000"/>
                      <w:kern w:val="0"/>
                      <w:sz w:val="18"/>
                      <w:szCs w:val="18"/>
                      <w:lang w:val="en-US" w:eastAsia="zh-Hans" w:bidi="ar"/>
                    </w:rPr>
                    <w:t>权利人</w:t>
                  </w:r>
                  <w:r>
                    <w:rPr>
                      <w:rFonts w:hint="default" w:eastAsia="黑体" w:cs="Times New Roman"/>
                      <w:color w:val="000000"/>
                      <w:kern w:val="0"/>
                      <w:sz w:val="18"/>
                      <w:szCs w:val="18"/>
                      <w:lang w:eastAsia="zh-Hans" w:bidi="ar"/>
                    </w:rPr>
                    <w:t>（</w:t>
                  </w:r>
                  <w:r>
                    <w:rPr>
                      <w:rFonts w:hint="eastAsia" w:eastAsia="黑体" w:cs="Times New Roman"/>
                      <w:color w:val="000000"/>
                      <w:kern w:val="0"/>
                      <w:sz w:val="18"/>
                      <w:szCs w:val="18"/>
                      <w:lang w:val="en-US" w:eastAsia="zh-Hans" w:bidi="ar"/>
                    </w:rPr>
                    <w:t>标准起草单位</w:t>
                  </w:r>
                  <w:r>
                    <w:rPr>
                      <w:rFonts w:hint="default" w:eastAsia="黑体" w:cs="Times New Roman"/>
                      <w:color w:val="000000"/>
                      <w:kern w:val="0"/>
                      <w:sz w:val="18"/>
                      <w:szCs w:val="18"/>
                      <w:lang w:eastAsia="zh-Hans" w:bidi="ar"/>
                    </w:rPr>
                    <w:t>）</w:t>
                  </w:r>
                </w:p>
              </w:tc>
              <w:tc>
                <w:tcPr>
                  <w:tcW w:w="1550" w:type="dxa"/>
                  <w:vAlign w:val="center"/>
                </w:tcPr>
                <w:p>
                  <w:pPr>
                    <w:spacing w:line="240" w:lineRule="auto"/>
                    <w:jc w:val="center"/>
                    <w:rPr>
                      <w:rFonts w:hint="eastAsia" w:eastAsia="黑体" w:cs="Times New Roman"/>
                      <w:color w:val="000000"/>
                      <w:kern w:val="2"/>
                      <w:sz w:val="18"/>
                      <w:szCs w:val="18"/>
                      <w:lang w:val="en-US" w:eastAsia="zh-Hans" w:bidi="ar"/>
                    </w:rPr>
                  </w:pPr>
                  <w:r>
                    <w:rPr>
                      <w:rFonts w:hint="eastAsia" w:eastAsia="黑体" w:cs="Times New Roman"/>
                      <w:color w:val="000000"/>
                      <w:kern w:val="2"/>
                      <w:sz w:val="18"/>
                      <w:szCs w:val="18"/>
                      <w:lang w:val="en-US" w:eastAsia="zh-Hans" w:bidi="ar"/>
                    </w:rPr>
                    <w:t>发明人</w:t>
                  </w:r>
                  <w:r>
                    <w:rPr>
                      <w:rFonts w:hint="default" w:eastAsia="黑体" w:cs="Times New Roman"/>
                      <w:color w:val="000000"/>
                      <w:kern w:val="0"/>
                      <w:sz w:val="18"/>
                      <w:szCs w:val="18"/>
                      <w:lang w:eastAsia="zh-Hans" w:bidi="ar"/>
                    </w:rPr>
                    <w:t>（</w:t>
                  </w:r>
                  <w:r>
                    <w:rPr>
                      <w:rFonts w:hint="eastAsia" w:eastAsia="黑体" w:cs="Times New Roman"/>
                      <w:color w:val="000000"/>
                      <w:kern w:val="0"/>
                      <w:sz w:val="18"/>
                      <w:szCs w:val="18"/>
                      <w:lang w:val="en-US" w:eastAsia="zh-Hans" w:bidi="ar"/>
                    </w:rPr>
                    <w:t>标准起草人</w:t>
                  </w:r>
                  <w:r>
                    <w:rPr>
                      <w:rFonts w:hint="default" w:eastAsia="黑体" w:cs="Times New Roman"/>
                      <w:color w:val="000000"/>
                      <w:kern w:val="0"/>
                      <w:sz w:val="18"/>
                      <w:szCs w:val="18"/>
                      <w:lang w:eastAsia="zh-Hans" w:bidi="ar"/>
                    </w:rPr>
                    <w:t>）</w:t>
                  </w:r>
                </w:p>
              </w:tc>
              <w:tc>
                <w:tcPr>
                  <w:tcW w:w="942" w:type="dxa"/>
                  <w:vAlign w:val="center"/>
                </w:tcPr>
                <w:p>
                  <w:pPr>
                    <w:spacing w:line="240" w:lineRule="auto"/>
                    <w:jc w:val="center"/>
                    <w:rPr>
                      <w:rFonts w:hint="eastAsia" w:eastAsia="黑体" w:cs="Times New Roman"/>
                      <w:color w:val="000000"/>
                      <w:kern w:val="2"/>
                      <w:sz w:val="18"/>
                      <w:szCs w:val="18"/>
                      <w:lang w:val="en-US" w:eastAsia="zh-Hans" w:bidi="ar"/>
                    </w:rPr>
                  </w:pPr>
                  <w:r>
                    <w:rPr>
                      <w:rFonts w:hint="eastAsia" w:eastAsia="黑体" w:cs="Times New Roman"/>
                      <w:color w:val="000000"/>
                      <w:kern w:val="2"/>
                      <w:sz w:val="18"/>
                      <w:szCs w:val="18"/>
                      <w:lang w:val="en-US" w:eastAsia="zh-Hans" w:bidi="ar"/>
                    </w:rPr>
                    <w:t>发明专利</w:t>
                  </w:r>
                  <w:r>
                    <w:rPr>
                      <w:rFonts w:hint="default" w:eastAsia="黑体" w:cs="Times New Roman"/>
                      <w:color w:val="000000"/>
                      <w:kern w:val="2"/>
                      <w:sz w:val="18"/>
                      <w:szCs w:val="18"/>
                      <w:lang w:eastAsia="zh-Hans" w:bidi="ar"/>
                    </w:rPr>
                    <w:t>（</w:t>
                  </w:r>
                  <w:r>
                    <w:rPr>
                      <w:rFonts w:hint="eastAsia" w:eastAsia="黑体" w:cs="Times New Roman"/>
                      <w:color w:val="000000"/>
                      <w:kern w:val="2"/>
                      <w:sz w:val="18"/>
                      <w:szCs w:val="18"/>
                      <w:lang w:val="en-US" w:eastAsia="zh-Hans" w:bidi="ar"/>
                    </w:rPr>
                    <w:t>标准</w:t>
                  </w:r>
                  <w:r>
                    <w:rPr>
                      <w:rFonts w:hint="default" w:eastAsia="黑体" w:cs="Times New Roman"/>
                      <w:color w:val="000000"/>
                      <w:kern w:val="2"/>
                      <w:sz w:val="18"/>
                      <w:szCs w:val="18"/>
                      <w:lang w:eastAsia="zh-Hans" w:bidi="ar"/>
                    </w:rPr>
                    <w:t>）</w:t>
                  </w:r>
                  <w:r>
                    <w:rPr>
                      <w:rFonts w:hint="eastAsia" w:eastAsia="黑体" w:cs="Times New Roman"/>
                      <w:color w:val="000000"/>
                      <w:kern w:val="2"/>
                      <w:sz w:val="18"/>
                      <w:szCs w:val="18"/>
                      <w:lang w:val="en-US" w:eastAsia="zh-Hans" w:bidi="ar"/>
                    </w:rPr>
                    <w:t>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1177" w:type="dxa"/>
                  <w:vAlign w:val="center"/>
                </w:tcPr>
                <w:p>
                  <w:pPr>
                    <w:snapToGrid w:val="0"/>
                    <w:jc w:val="center"/>
                    <w:rPr>
                      <w:rFonts w:eastAsia="宋体" w:cs="Times New Roman"/>
                      <w:color w:val="000000"/>
                      <w:kern w:val="0"/>
                      <w:sz w:val="18"/>
                      <w:szCs w:val="18"/>
                    </w:rPr>
                  </w:pPr>
                  <w:r>
                    <w:rPr>
                      <w:rFonts w:hint="default" w:ascii="Times New Roman" w:hAnsi="Times New Roman" w:eastAsia="宋体" w:cs="Times New Roman"/>
                      <w:color w:val="auto"/>
                      <w:sz w:val="21"/>
                      <w:szCs w:val="21"/>
                    </w:rPr>
                    <w:t>1、授权发明专利</w:t>
                  </w:r>
                </w:p>
              </w:tc>
              <w:tc>
                <w:tcPr>
                  <w:tcW w:w="317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仿生型自动视觉和视线控制系统及方法</w:t>
                  </w:r>
                </w:p>
              </w:tc>
              <w:tc>
                <w:tcPr>
                  <w:tcW w:w="113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中国（获得美国、日本专利授权）</w:t>
                  </w:r>
                </w:p>
              </w:tc>
              <w:tc>
                <w:tcPr>
                  <w:tcW w:w="173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ZL02137572.0</w:t>
                  </w:r>
                </w:p>
              </w:tc>
              <w:tc>
                <w:tcPr>
                  <w:tcW w:w="1317"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2005/9/14</w:t>
                  </w:r>
                </w:p>
              </w:tc>
              <w:tc>
                <w:tcPr>
                  <w:tcW w:w="1192"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227191</w:t>
                  </w:r>
                </w:p>
              </w:tc>
              <w:tc>
                <w:tcPr>
                  <w:tcW w:w="1391"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lang w:eastAsia="zh-CN"/>
                    </w:rPr>
                    <w:t>安徽爱观视觉</w:t>
                  </w:r>
                  <w:r>
                    <w:rPr>
                      <w:rFonts w:hint="default" w:ascii="Times New Roman" w:hAnsi="Times New Roman" w:eastAsia="宋体" w:cs="Times New Roman"/>
                      <w:color w:val="auto"/>
                      <w:sz w:val="21"/>
                      <w:szCs w:val="21"/>
                    </w:rPr>
                    <w:t>科技有限公司</w:t>
                  </w:r>
                </w:p>
              </w:tc>
              <w:tc>
                <w:tcPr>
                  <w:tcW w:w="1550"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张晓林,张光荣</w:t>
                  </w:r>
                </w:p>
              </w:tc>
              <w:tc>
                <w:tcPr>
                  <w:tcW w:w="942"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1177" w:type="dxa"/>
                  <w:vAlign w:val="center"/>
                </w:tcPr>
                <w:p>
                  <w:pPr>
                    <w:snapToGrid w:val="0"/>
                    <w:jc w:val="center"/>
                    <w:rPr>
                      <w:rFonts w:eastAsia="宋体" w:cs="Times New Roman"/>
                      <w:color w:val="000000"/>
                      <w:kern w:val="0"/>
                      <w:sz w:val="18"/>
                      <w:szCs w:val="18"/>
                    </w:rPr>
                  </w:pPr>
                  <w:r>
                    <w:rPr>
                      <w:rFonts w:hint="default" w:ascii="Times New Roman" w:hAnsi="Times New Roman" w:eastAsia="宋体" w:cs="Times New Roman"/>
                      <w:color w:val="auto"/>
                      <w:sz w:val="21"/>
                      <w:szCs w:val="21"/>
                    </w:rPr>
                    <w:t>2、授权发明专利</w:t>
                  </w:r>
                </w:p>
              </w:tc>
              <w:tc>
                <w:tcPr>
                  <w:tcW w:w="317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Cooperative control device</w:t>
                  </w:r>
                </w:p>
              </w:tc>
              <w:tc>
                <w:tcPr>
                  <w:tcW w:w="113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美国</w:t>
                  </w:r>
                </w:p>
              </w:tc>
              <w:tc>
                <w:tcPr>
                  <w:tcW w:w="173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US8788094B2</w:t>
                  </w:r>
                </w:p>
              </w:tc>
              <w:tc>
                <w:tcPr>
                  <w:tcW w:w="1317"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2014/7/22</w:t>
                  </w:r>
                </w:p>
              </w:tc>
              <w:tc>
                <w:tcPr>
                  <w:tcW w:w="1192"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eastAsia" w:ascii="Times New Roman" w:hAnsi="Times New Roman" w:eastAsia="宋体" w:cs="Times New Roman"/>
                      <w:b w:val="0"/>
                      <w:bCs/>
                      <w:color w:val="auto"/>
                      <w:sz w:val="21"/>
                      <w:szCs w:val="21"/>
                      <w:lang w:val="en-US" w:eastAsia="zh-CN"/>
                    </w:rPr>
                    <w:t>/</w:t>
                  </w:r>
                </w:p>
              </w:tc>
              <w:tc>
                <w:tcPr>
                  <w:tcW w:w="1391"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b w:val="0"/>
                      <w:bCs/>
                      <w:color w:val="auto"/>
                      <w:sz w:val="21"/>
                      <w:szCs w:val="21"/>
                    </w:rPr>
                    <w:t>Bi2-Vision株式会社</w:t>
                  </w:r>
                </w:p>
              </w:tc>
              <w:tc>
                <w:tcPr>
                  <w:tcW w:w="1550"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张晓林</w:t>
                  </w:r>
                </w:p>
              </w:tc>
              <w:tc>
                <w:tcPr>
                  <w:tcW w:w="942"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1177" w:type="dxa"/>
                  <w:vAlign w:val="center"/>
                </w:tcPr>
                <w:p>
                  <w:pPr>
                    <w:snapToGrid w:val="0"/>
                    <w:jc w:val="center"/>
                    <w:rPr>
                      <w:rFonts w:eastAsia="宋体" w:cs="Times New Roman"/>
                      <w:color w:val="000000"/>
                      <w:kern w:val="0"/>
                      <w:sz w:val="18"/>
                      <w:szCs w:val="18"/>
                    </w:rPr>
                  </w:pPr>
                  <w:r>
                    <w:rPr>
                      <w:rFonts w:hint="default" w:ascii="Times New Roman" w:hAnsi="Times New Roman" w:eastAsia="宋体" w:cs="Times New Roman"/>
                      <w:color w:val="auto"/>
                      <w:sz w:val="21"/>
                      <w:szCs w:val="21"/>
                    </w:rPr>
                    <w:t>3、授权发明专利</w:t>
                  </w:r>
                </w:p>
              </w:tc>
              <w:tc>
                <w:tcPr>
                  <w:tcW w:w="317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立体摄像装置控制系统</w:t>
                  </w:r>
                </w:p>
              </w:tc>
              <w:tc>
                <w:tcPr>
                  <w:tcW w:w="113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中国（获得日本、美国授权）</w:t>
                  </w:r>
                </w:p>
              </w:tc>
              <w:tc>
                <w:tcPr>
                  <w:tcW w:w="173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ZL201110288926.1</w:t>
                  </w:r>
                </w:p>
              </w:tc>
              <w:tc>
                <w:tcPr>
                  <w:tcW w:w="1317"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2011/9/26</w:t>
                  </w:r>
                </w:p>
              </w:tc>
              <w:tc>
                <w:tcPr>
                  <w:tcW w:w="1192"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lang w:val="en-US" w:eastAsia="zh-CN"/>
                    </w:rPr>
                    <w:t>1818753</w:t>
                  </w:r>
                </w:p>
              </w:tc>
              <w:tc>
                <w:tcPr>
                  <w:tcW w:w="1391"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b w:val="0"/>
                      <w:bCs/>
                      <w:color w:val="auto"/>
                      <w:sz w:val="21"/>
                      <w:szCs w:val="21"/>
                    </w:rPr>
                    <w:t>Bi2-Vision株式会社</w:t>
                  </w:r>
                </w:p>
              </w:tc>
              <w:tc>
                <w:tcPr>
                  <w:tcW w:w="1550"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张晓林</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甄梓宁</w:t>
                  </w:r>
                </w:p>
              </w:tc>
              <w:tc>
                <w:tcPr>
                  <w:tcW w:w="942"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1177" w:type="dxa"/>
                  <w:vAlign w:val="center"/>
                </w:tcPr>
                <w:p>
                  <w:pPr>
                    <w:snapToGrid w:val="0"/>
                    <w:jc w:val="center"/>
                    <w:rPr>
                      <w:rFonts w:eastAsia="宋体" w:cs="Times New Roman"/>
                      <w:color w:val="000000"/>
                      <w:kern w:val="0"/>
                      <w:sz w:val="18"/>
                      <w:szCs w:val="18"/>
                    </w:rPr>
                  </w:pPr>
                  <w:r>
                    <w:rPr>
                      <w:rFonts w:hint="default" w:ascii="Times New Roman" w:hAnsi="Times New Roman" w:eastAsia="宋体" w:cs="Times New Roman"/>
                      <w:color w:val="auto"/>
                      <w:sz w:val="21"/>
                      <w:szCs w:val="21"/>
                    </w:rPr>
                    <w:t>4、授权发明专利</w:t>
                  </w:r>
                </w:p>
              </w:tc>
              <w:tc>
                <w:tcPr>
                  <w:tcW w:w="317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一种仿生双眼视觉校准系统及校准方法</w:t>
                  </w:r>
                </w:p>
              </w:tc>
              <w:tc>
                <w:tcPr>
                  <w:tcW w:w="113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中国</w:t>
                  </w:r>
                </w:p>
              </w:tc>
              <w:tc>
                <w:tcPr>
                  <w:tcW w:w="173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ZL201710058835.6</w:t>
                  </w:r>
                </w:p>
              </w:tc>
              <w:tc>
                <w:tcPr>
                  <w:tcW w:w="1317"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2019/12/20</w:t>
                  </w:r>
                </w:p>
              </w:tc>
              <w:tc>
                <w:tcPr>
                  <w:tcW w:w="1192"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3638154</w:t>
                  </w:r>
                </w:p>
              </w:tc>
              <w:tc>
                <w:tcPr>
                  <w:tcW w:w="1391"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lang w:eastAsia="zh-CN"/>
                    </w:rPr>
                    <w:t>安徽爱观视觉</w:t>
                  </w:r>
                  <w:r>
                    <w:rPr>
                      <w:rFonts w:hint="default" w:ascii="Times New Roman" w:hAnsi="Times New Roman" w:eastAsia="宋体" w:cs="Times New Roman"/>
                      <w:color w:val="auto"/>
                      <w:sz w:val="21"/>
                      <w:szCs w:val="21"/>
                    </w:rPr>
                    <w:t>科技有限公司</w:t>
                  </w:r>
                </w:p>
              </w:tc>
              <w:tc>
                <w:tcPr>
                  <w:tcW w:w="1550"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张晓林</w:t>
                  </w:r>
                </w:p>
              </w:tc>
              <w:tc>
                <w:tcPr>
                  <w:tcW w:w="942"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trPr>
              <w:tc>
                <w:tcPr>
                  <w:tcW w:w="1177" w:type="dxa"/>
                  <w:vAlign w:val="center"/>
                </w:tcPr>
                <w:p>
                  <w:pPr>
                    <w:snapToGrid w:val="0"/>
                    <w:jc w:val="center"/>
                    <w:rPr>
                      <w:rFonts w:eastAsia="宋体" w:cs="Times New Roman"/>
                      <w:color w:val="000000"/>
                      <w:kern w:val="0"/>
                      <w:sz w:val="18"/>
                      <w:szCs w:val="18"/>
                    </w:rPr>
                  </w:pPr>
                  <w:r>
                    <w:rPr>
                      <w:rFonts w:hint="default" w:ascii="Times New Roman" w:hAnsi="Times New Roman" w:eastAsia="宋体" w:cs="Times New Roman"/>
                      <w:color w:val="auto"/>
                      <w:sz w:val="21"/>
                      <w:szCs w:val="21"/>
                    </w:rPr>
                    <w:t>5、授权发明专利</w:t>
                  </w:r>
                </w:p>
              </w:tc>
              <w:tc>
                <w:tcPr>
                  <w:tcW w:w="317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一种多自由度可动视觉系统的标定方法</w:t>
                  </w:r>
                </w:p>
              </w:tc>
              <w:tc>
                <w:tcPr>
                  <w:tcW w:w="113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中国</w:t>
                  </w:r>
                </w:p>
              </w:tc>
              <w:tc>
                <w:tcPr>
                  <w:tcW w:w="173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ZL201811141453.0</w:t>
                  </w:r>
                </w:p>
              </w:tc>
              <w:tc>
                <w:tcPr>
                  <w:tcW w:w="1317"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2022.8.19</w:t>
                  </w:r>
                </w:p>
              </w:tc>
              <w:tc>
                <w:tcPr>
                  <w:tcW w:w="1192"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5396390</w:t>
                  </w:r>
                </w:p>
              </w:tc>
              <w:tc>
                <w:tcPr>
                  <w:tcW w:w="1391"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lang w:eastAsia="zh-CN"/>
                    </w:rPr>
                    <w:t>安徽爱观视觉</w:t>
                  </w:r>
                  <w:r>
                    <w:rPr>
                      <w:rFonts w:hint="default" w:ascii="Times New Roman" w:hAnsi="Times New Roman" w:eastAsia="宋体" w:cs="Times New Roman"/>
                      <w:color w:val="auto"/>
                      <w:sz w:val="21"/>
                      <w:szCs w:val="21"/>
                    </w:rPr>
                    <w:t>科技有限公司</w:t>
                  </w:r>
                </w:p>
              </w:tc>
              <w:tc>
                <w:tcPr>
                  <w:tcW w:w="1550"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王开放、杨冬冬、张晓林</w:t>
                  </w:r>
                </w:p>
              </w:tc>
              <w:tc>
                <w:tcPr>
                  <w:tcW w:w="942"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trPr>
              <w:tc>
                <w:tcPr>
                  <w:tcW w:w="1177" w:type="dxa"/>
                  <w:vAlign w:val="center"/>
                </w:tcPr>
                <w:p>
                  <w:pPr>
                    <w:snapToGrid w:val="0"/>
                    <w:jc w:val="center"/>
                    <w:rPr>
                      <w:rFonts w:eastAsia="宋体" w:cs="Times New Roman"/>
                      <w:color w:val="000000"/>
                      <w:kern w:val="0"/>
                      <w:sz w:val="18"/>
                      <w:szCs w:val="18"/>
                    </w:rPr>
                  </w:pPr>
                  <w:r>
                    <w:rPr>
                      <w:rFonts w:hint="default" w:ascii="Times New Roman" w:hAnsi="Times New Roman" w:eastAsia="宋体" w:cs="Times New Roman"/>
                      <w:color w:val="auto"/>
                      <w:sz w:val="21"/>
                      <w:szCs w:val="21"/>
                    </w:rPr>
                    <w:t>6、授权发明专利</w:t>
                  </w:r>
                </w:p>
              </w:tc>
              <w:tc>
                <w:tcPr>
                  <w:tcW w:w="317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一种可动视觉系统的立体标定方法</w:t>
                  </w:r>
                </w:p>
              </w:tc>
              <w:tc>
                <w:tcPr>
                  <w:tcW w:w="1133" w:type="dxa"/>
                  <w:vAlign w:val="center"/>
                </w:tcPr>
                <w:p>
                  <w:pPr>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中国</w:t>
                  </w:r>
                </w:p>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PCT:CN2019/096546</w:t>
                  </w:r>
                </w:p>
              </w:tc>
              <w:tc>
                <w:tcPr>
                  <w:tcW w:w="173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ZL201811141498.8</w:t>
                  </w:r>
                </w:p>
              </w:tc>
              <w:tc>
                <w:tcPr>
                  <w:tcW w:w="1317"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2021/1/1</w:t>
                  </w:r>
                </w:p>
              </w:tc>
              <w:tc>
                <w:tcPr>
                  <w:tcW w:w="1192"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4185040</w:t>
                  </w:r>
                </w:p>
              </w:tc>
              <w:tc>
                <w:tcPr>
                  <w:tcW w:w="1391"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lang w:eastAsia="zh-CN"/>
                    </w:rPr>
                    <w:t>安徽爱观视觉</w:t>
                  </w:r>
                  <w:r>
                    <w:rPr>
                      <w:rFonts w:hint="default" w:ascii="Times New Roman" w:hAnsi="Times New Roman" w:eastAsia="宋体" w:cs="Times New Roman"/>
                      <w:color w:val="auto"/>
                      <w:sz w:val="21"/>
                      <w:szCs w:val="21"/>
                    </w:rPr>
                    <w:t>科技有限公司</w:t>
                  </w:r>
                </w:p>
              </w:tc>
              <w:tc>
                <w:tcPr>
                  <w:tcW w:w="1550"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王开放</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杨冬冬</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张晓林</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李嘉茂</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王文浩</w:t>
                  </w:r>
                </w:p>
              </w:tc>
              <w:tc>
                <w:tcPr>
                  <w:tcW w:w="942"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trPr>
              <w:tc>
                <w:tcPr>
                  <w:tcW w:w="1177" w:type="dxa"/>
                  <w:vAlign w:val="center"/>
                </w:tcPr>
                <w:p>
                  <w:pPr>
                    <w:snapToGrid w:val="0"/>
                    <w:jc w:val="center"/>
                    <w:rPr>
                      <w:rFonts w:eastAsia="宋体" w:cs="Times New Roman"/>
                      <w:color w:val="000000"/>
                      <w:kern w:val="0"/>
                      <w:sz w:val="18"/>
                      <w:szCs w:val="18"/>
                    </w:rPr>
                  </w:pPr>
                  <w:r>
                    <w:rPr>
                      <w:rFonts w:hint="default" w:ascii="Times New Roman" w:hAnsi="Times New Roman" w:eastAsia="宋体" w:cs="Times New Roman"/>
                      <w:color w:val="auto"/>
                      <w:sz w:val="21"/>
                      <w:szCs w:val="21"/>
                    </w:rPr>
                    <w:t>7、授权发明专利</w:t>
                  </w:r>
                </w:p>
              </w:tc>
              <w:tc>
                <w:tcPr>
                  <w:tcW w:w="317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OCULAR MOTOR CONTROLLER USING PRINCIPLE OF VESTIBULO-OCULAR REFLEX</w:t>
                  </w:r>
                </w:p>
              </w:tc>
              <w:tc>
                <w:tcPr>
                  <w:tcW w:w="113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美国（同时获得日本、印度授权）</w:t>
                  </w:r>
                </w:p>
              </w:tc>
              <w:tc>
                <w:tcPr>
                  <w:tcW w:w="173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US8253814B2</w:t>
                  </w:r>
                </w:p>
              </w:tc>
              <w:tc>
                <w:tcPr>
                  <w:tcW w:w="1317"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2012/8/28</w:t>
                  </w:r>
                </w:p>
              </w:tc>
              <w:tc>
                <w:tcPr>
                  <w:tcW w:w="1192"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PCT/JP2008/001442</w:t>
                  </w:r>
                </w:p>
              </w:tc>
              <w:tc>
                <w:tcPr>
                  <w:tcW w:w="1391"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lang w:eastAsia="zh-CN"/>
                    </w:rPr>
                    <w:t>安徽爱观视觉</w:t>
                  </w:r>
                  <w:r>
                    <w:rPr>
                      <w:rFonts w:hint="default" w:ascii="Times New Roman" w:hAnsi="Times New Roman" w:eastAsia="宋体" w:cs="Times New Roman"/>
                      <w:color w:val="auto"/>
                      <w:sz w:val="21"/>
                      <w:szCs w:val="21"/>
                    </w:rPr>
                    <w:t>科技有限公司</w:t>
                  </w:r>
                </w:p>
              </w:tc>
              <w:tc>
                <w:tcPr>
                  <w:tcW w:w="1550"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Xiolin ZHANG, TsukasaOdagawa</w:t>
                  </w:r>
                </w:p>
              </w:tc>
              <w:tc>
                <w:tcPr>
                  <w:tcW w:w="942"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trPr>
              <w:tc>
                <w:tcPr>
                  <w:tcW w:w="1177" w:type="dxa"/>
                  <w:vAlign w:val="center"/>
                </w:tcPr>
                <w:p>
                  <w:pPr>
                    <w:snapToGrid w:val="0"/>
                    <w:jc w:val="center"/>
                    <w:rPr>
                      <w:rFonts w:eastAsia="宋体" w:cs="Times New Roman"/>
                      <w:color w:val="000000"/>
                      <w:kern w:val="0"/>
                      <w:sz w:val="18"/>
                      <w:szCs w:val="18"/>
                    </w:rPr>
                  </w:pPr>
                  <w:r>
                    <w:rPr>
                      <w:rFonts w:hint="default" w:ascii="Times New Roman" w:hAnsi="Times New Roman" w:eastAsia="宋体" w:cs="Times New Roman"/>
                      <w:color w:val="auto"/>
                      <w:sz w:val="21"/>
                      <w:szCs w:val="21"/>
                    </w:rPr>
                    <w:t>8、授权发明专利</w:t>
                  </w:r>
                </w:p>
              </w:tc>
              <w:tc>
                <w:tcPr>
                  <w:tcW w:w="317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一种像素位移量确认方法、装置、电子设备及存储介质</w:t>
                  </w:r>
                </w:p>
              </w:tc>
              <w:tc>
                <w:tcPr>
                  <w:tcW w:w="113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中国</w:t>
                  </w:r>
                </w:p>
              </w:tc>
              <w:tc>
                <w:tcPr>
                  <w:tcW w:w="1733" w:type="dxa"/>
                  <w:vAlign w:val="center"/>
                </w:tcPr>
                <w:p>
                  <w:pPr>
                    <w:pStyle w:val="12"/>
                    <w:kinsoku w:val="0"/>
                    <w:overflowPunct w:val="0"/>
                    <w:snapToGrid w:val="0"/>
                    <w:spacing w:before="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ZL201911375942.7</w:t>
                  </w:r>
                  <w:bookmarkStart w:id="0" w:name="_GoBack"/>
                  <w:bookmarkEnd w:id="0"/>
                </w:p>
              </w:tc>
              <w:tc>
                <w:tcPr>
                  <w:tcW w:w="1317"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2021</w:t>
                  </w:r>
                  <w:r>
                    <w:rPr>
                      <w:rFonts w:hint="default" w:ascii="Times New Roman" w:hAnsi="Times New Roman" w:eastAsia="宋体" w:cs="Times New Roman"/>
                      <w:color w:val="auto"/>
                      <w:sz w:val="21"/>
                      <w:szCs w:val="21"/>
                      <w:lang w:val="en-US" w:eastAsia="zh-CN"/>
                    </w:rPr>
                    <w:t>/1/29</w:t>
                  </w:r>
                </w:p>
              </w:tc>
              <w:tc>
                <w:tcPr>
                  <w:tcW w:w="1192"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lang w:val="en-US" w:eastAsia="zh-CN"/>
                    </w:rPr>
                    <w:t>4226651</w:t>
                  </w:r>
                </w:p>
              </w:tc>
              <w:tc>
                <w:tcPr>
                  <w:tcW w:w="1391"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中科院上海微系统所</w:t>
                  </w:r>
                </w:p>
              </w:tc>
              <w:tc>
                <w:tcPr>
                  <w:tcW w:w="1550"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李嘉茂</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 xml:space="preserve"> 朱冬晨</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 xml:space="preserve"> 王贤舜</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 xml:space="preserve"> 张晓林</w:t>
                  </w:r>
                </w:p>
              </w:tc>
              <w:tc>
                <w:tcPr>
                  <w:tcW w:w="942"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trPr>
              <w:tc>
                <w:tcPr>
                  <w:tcW w:w="1177" w:type="dxa"/>
                  <w:vAlign w:val="center"/>
                </w:tcPr>
                <w:p>
                  <w:pPr>
                    <w:snapToGrid w:val="0"/>
                    <w:jc w:val="center"/>
                    <w:rPr>
                      <w:rFonts w:eastAsia="宋体" w:cs="Times New Roman"/>
                      <w:color w:val="000000"/>
                      <w:kern w:val="0"/>
                      <w:sz w:val="18"/>
                      <w:szCs w:val="18"/>
                    </w:rPr>
                  </w:pPr>
                  <w:r>
                    <w:rPr>
                      <w:rFonts w:hint="default" w:ascii="Times New Roman" w:hAnsi="Times New Roman" w:eastAsia="宋体" w:cs="Times New Roman"/>
                      <w:color w:val="auto"/>
                      <w:sz w:val="21"/>
                      <w:szCs w:val="21"/>
                    </w:rPr>
                    <w:t>9、授权发明专利</w:t>
                  </w:r>
                </w:p>
              </w:tc>
              <w:tc>
                <w:tcPr>
                  <w:tcW w:w="317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一种三维语义地图的构建方法、装置、电子设备及存储介质</w:t>
                  </w:r>
                </w:p>
              </w:tc>
              <w:tc>
                <w:tcPr>
                  <w:tcW w:w="113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中国</w:t>
                  </w:r>
                </w:p>
              </w:tc>
              <w:tc>
                <w:tcPr>
                  <w:tcW w:w="1733" w:type="dxa"/>
                  <w:vAlign w:val="center"/>
                </w:tcPr>
                <w:p>
                  <w:pPr>
                    <w:pStyle w:val="12"/>
                    <w:kinsoku w:val="0"/>
                    <w:overflowPunct w:val="0"/>
                    <w:snapToGrid w:val="0"/>
                    <w:spacing w:before="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ZL201911354167.7</w:t>
                  </w:r>
                </w:p>
              </w:tc>
              <w:tc>
                <w:tcPr>
                  <w:tcW w:w="1317"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2020-11-06</w:t>
                  </w:r>
                </w:p>
              </w:tc>
              <w:tc>
                <w:tcPr>
                  <w:tcW w:w="1192"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lang w:val="en-US" w:eastAsia="zh-CN"/>
                    </w:rPr>
                    <w:t>4075011</w:t>
                  </w:r>
                </w:p>
              </w:tc>
              <w:tc>
                <w:tcPr>
                  <w:tcW w:w="1391"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中科院上海微系统所</w:t>
                  </w:r>
                </w:p>
              </w:tc>
              <w:tc>
                <w:tcPr>
                  <w:tcW w:w="1550"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李嘉茂、石文君、张晓林、朱冬晨</w:t>
                  </w:r>
                </w:p>
              </w:tc>
              <w:tc>
                <w:tcPr>
                  <w:tcW w:w="942"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trPr>
              <w:tc>
                <w:tcPr>
                  <w:tcW w:w="1177" w:type="dxa"/>
                  <w:vAlign w:val="center"/>
                </w:tcPr>
                <w:p>
                  <w:pPr>
                    <w:snapToGrid w:val="0"/>
                    <w:jc w:val="center"/>
                    <w:rPr>
                      <w:rFonts w:eastAsia="宋体" w:cs="Times New Roman"/>
                      <w:color w:val="000000"/>
                      <w:kern w:val="0"/>
                      <w:sz w:val="18"/>
                      <w:szCs w:val="18"/>
                    </w:rPr>
                  </w:pPr>
                  <w:r>
                    <w:rPr>
                      <w:rFonts w:hint="default" w:ascii="Times New Roman" w:hAnsi="Times New Roman" w:eastAsia="宋体" w:cs="Times New Roman"/>
                      <w:color w:val="auto"/>
                      <w:sz w:val="21"/>
                      <w:szCs w:val="21"/>
                    </w:rPr>
                    <w:t>10、授权发明专利</w:t>
                  </w:r>
                </w:p>
              </w:tc>
              <w:tc>
                <w:tcPr>
                  <w:tcW w:w="317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一种基于点云的语义实例确定方法、装置、电子设备及存储介质</w:t>
                  </w:r>
                </w:p>
              </w:tc>
              <w:tc>
                <w:tcPr>
                  <w:tcW w:w="1133"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中国</w:t>
                  </w:r>
                </w:p>
              </w:tc>
              <w:tc>
                <w:tcPr>
                  <w:tcW w:w="1733" w:type="dxa"/>
                  <w:vAlign w:val="center"/>
                </w:tcPr>
                <w:p>
                  <w:pPr>
                    <w:pStyle w:val="12"/>
                    <w:kinsoku w:val="0"/>
                    <w:overflowPunct w:val="0"/>
                    <w:snapToGrid w:val="0"/>
                    <w:spacing w:before="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ZL201911360880.2</w:t>
                  </w:r>
                </w:p>
              </w:tc>
              <w:tc>
                <w:tcPr>
                  <w:tcW w:w="1317"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2020-12-01</w:t>
                  </w:r>
                </w:p>
              </w:tc>
              <w:tc>
                <w:tcPr>
                  <w:tcW w:w="1192"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lang w:val="en-US" w:eastAsia="zh-CN"/>
                    </w:rPr>
                    <w:t>4128376</w:t>
                  </w:r>
                </w:p>
              </w:tc>
              <w:tc>
                <w:tcPr>
                  <w:tcW w:w="1391"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中科院上海微系统所</w:t>
                  </w:r>
                </w:p>
              </w:tc>
              <w:tc>
                <w:tcPr>
                  <w:tcW w:w="1550" w:type="dxa"/>
                  <w:vAlign w:val="center"/>
                </w:tcPr>
                <w:p>
                  <w:pPr>
                    <w:snapToGrid w:val="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李嘉茂、张广慧、张晓林、朱冬晨</w:t>
                  </w:r>
                </w:p>
              </w:tc>
              <w:tc>
                <w:tcPr>
                  <w:tcW w:w="942" w:type="dxa"/>
                  <w:vAlign w:val="center"/>
                </w:tcPr>
                <w:p>
                  <w:pPr>
                    <w:pStyle w:val="3"/>
                    <w:snapToGrid w:val="0"/>
                    <w:spacing w:line="240" w:lineRule="auto"/>
                    <w:ind w:firstLine="0" w:firstLineChars="0"/>
                    <w:jc w:val="center"/>
                    <w:rPr>
                      <w:rFonts w:eastAsia="宋体" w:cs="Times New Roman"/>
                      <w:color w:val="000000"/>
                      <w:kern w:val="0"/>
                      <w:sz w:val="21"/>
                      <w:szCs w:val="21"/>
                    </w:rPr>
                  </w:pPr>
                  <w:r>
                    <w:rPr>
                      <w:rFonts w:hint="default" w:ascii="Times New Roman" w:hAnsi="Times New Roman" w:eastAsia="宋体" w:cs="Times New Roman"/>
                      <w:color w:val="auto"/>
                      <w:sz w:val="21"/>
                      <w:szCs w:val="21"/>
                    </w:rPr>
                    <w:t>有效</w:t>
                  </w:r>
                </w:p>
              </w:tc>
            </w:tr>
          </w:tbl>
          <w:p>
            <w:pPr>
              <w:pStyle w:val="6"/>
              <w:widowControl w:val="0"/>
              <w:adjustRightInd w:val="0"/>
              <w:spacing w:line="240" w:lineRule="exact"/>
              <w:jc w:val="center"/>
              <w:outlineLvl w:val="1"/>
              <w:rPr>
                <w:rFonts w:eastAsia="黑体" w:cs="Times New Roman"/>
                <w:color w:val="000000"/>
                <w:kern w:val="0"/>
                <w:sz w:val="22"/>
                <w:szCs w:val="20"/>
                <w:lang w:bidi="ar"/>
              </w:rPr>
            </w:pP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B9"/>
    <w:rsid w:val="00034139"/>
    <w:rsid w:val="00036971"/>
    <w:rsid w:val="00090F91"/>
    <w:rsid w:val="000A0ADB"/>
    <w:rsid w:val="000B2F94"/>
    <w:rsid w:val="00114257"/>
    <w:rsid w:val="001660EC"/>
    <w:rsid w:val="001A5B6E"/>
    <w:rsid w:val="001B638A"/>
    <w:rsid w:val="001C39B9"/>
    <w:rsid w:val="001E0123"/>
    <w:rsid w:val="0026455A"/>
    <w:rsid w:val="002C273B"/>
    <w:rsid w:val="002D6056"/>
    <w:rsid w:val="003001A0"/>
    <w:rsid w:val="00311E18"/>
    <w:rsid w:val="003136CB"/>
    <w:rsid w:val="00382F9C"/>
    <w:rsid w:val="004D284C"/>
    <w:rsid w:val="004D73FA"/>
    <w:rsid w:val="0053136A"/>
    <w:rsid w:val="00653EE8"/>
    <w:rsid w:val="006A1336"/>
    <w:rsid w:val="006C4FDD"/>
    <w:rsid w:val="00742BCE"/>
    <w:rsid w:val="008523BB"/>
    <w:rsid w:val="0089720A"/>
    <w:rsid w:val="009F6E31"/>
    <w:rsid w:val="00A33039"/>
    <w:rsid w:val="00A95452"/>
    <w:rsid w:val="00AB4661"/>
    <w:rsid w:val="00B77487"/>
    <w:rsid w:val="00C10834"/>
    <w:rsid w:val="00C349A9"/>
    <w:rsid w:val="00C50B47"/>
    <w:rsid w:val="00C61277"/>
    <w:rsid w:val="00C659BA"/>
    <w:rsid w:val="00CB0763"/>
    <w:rsid w:val="00DE7908"/>
    <w:rsid w:val="00F475C3"/>
    <w:rsid w:val="00F63AD7"/>
    <w:rsid w:val="15725DA2"/>
    <w:rsid w:val="2E965E97"/>
    <w:rsid w:val="3EAEDC0A"/>
    <w:rsid w:val="FD9DD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pPr>
    <w:rPr>
      <w:rFonts w:ascii="Times New Roman" w:hAnsi="Times New Roman" w:eastAsia="仿宋_GB2312" w:cstheme="minorBidi"/>
      <w:kern w:val="2"/>
      <w:sz w:val="32"/>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3">
    <w:name w:val="Plain Text"/>
    <w:basedOn w:val="1"/>
    <w:qFormat/>
    <w:uiPriority w:val="0"/>
    <w:pPr>
      <w:widowControl w:val="0"/>
      <w:spacing w:line="360" w:lineRule="auto"/>
      <w:ind w:firstLine="480" w:firstLineChars="200"/>
      <w:jc w:val="both"/>
    </w:pPr>
    <w:rPr>
      <w:rFonts w:ascii="仿宋_GB2312" w:hAnsi="Times New Roman" w:cs="Times New Roman"/>
      <w:kern w:val="2"/>
      <w:szCs w:val="20"/>
    </w:rPr>
  </w:style>
  <w:style w:type="paragraph" w:styleId="4">
    <w:name w:val="footer"/>
    <w:basedOn w:val="1"/>
    <w:link w:val="11"/>
    <w:unhideWhenUsed/>
    <w:uiPriority w:val="99"/>
    <w:pPr>
      <w:tabs>
        <w:tab w:val="center" w:pos="4153"/>
        <w:tab w:val="right" w:pos="8306"/>
      </w:tabs>
      <w:snapToGrid w:val="0"/>
      <w:spacing w:line="240" w:lineRule="atLeas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unhideWhenUsed/>
    <w:qFormat/>
    <w:uiPriority w:val="99"/>
    <w:rPr>
      <w:sz w:val="24"/>
    </w:rPr>
  </w:style>
  <w:style w:type="table" w:styleId="8">
    <w:name w:val="Table Grid"/>
    <w:basedOn w:val="7"/>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uiPriority w:val="99"/>
    <w:rPr>
      <w:rFonts w:ascii="Times New Roman" w:hAnsi="Times New Roman" w:eastAsia="仿宋_GB2312"/>
      <w:sz w:val="18"/>
      <w:szCs w:val="18"/>
    </w:rPr>
  </w:style>
  <w:style w:type="character" w:customStyle="1" w:styleId="11">
    <w:name w:val="页脚 字符"/>
    <w:basedOn w:val="9"/>
    <w:link w:val="4"/>
    <w:qFormat/>
    <w:uiPriority w:val="99"/>
    <w:rPr>
      <w:rFonts w:ascii="Times New Roman" w:hAnsi="Times New Roman" w:eastAsia="仿宋_GB2312"/>
      <w:sz w:val="18"/>
      <w:szCs w:val="18"/>
    </w:rPr>
  </w:style>
  <w:style w:type="paragraph" w:customStyle="1" w:styleId="12">
    <w:name w:val="Table Paragraph"/>
    <w:basedOn w:val="1"/>
    <w:unhideWhenUsed/>
    <w:qFormat/>
    <w:uiPriority w:val="1"/>
    <w:pPr>
      <w:spacing w:before="101"/>
    </w:pPr>
    <w:rPr>
      <w:rFonts w:hint="eastAsia"/>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501</Words>
  <Characters>2860</Characters>
  <Lines>23</Lines>
  <Paragraphs>6</Paragraphs>
  <TotalTime>5</TotalTime>
  <ScaleCrop>false</ScaleCrop>
  <LinksUpToDate>false</LinksUpToDate>
  <CharactersWithSpaces>3355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2022-08-31T18:35:00Z</dcterms:created>
  <dc:creator>Lenovo</dc:creator>
  <cp:lastModifiedBy>CWB1</cp:lastModifiedBy>
  <dcterms:modified xsi:type="dcterms:W3CDTF">2022-09-16T08:42:26Z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