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方正小标宋简体" w:eastAsia="方正小标宋简体"/>
          <w:bCs/>
          <w:sz w:val="36"/>
          <w:szCs w:val="21"/>
        </w:rPr>
      </w:pPr>
      <w:r>
        <w:rPr>
          <w:rFonts w:hint="eastAsia" w:ascii="方正小标宋简体" w:eastAsia="方正小标宋简体"/>
          <w:bCs/>
          <w:kern w:val="0"/>
          <w:sz w:val="36"/>
          <w:szCs w:val="21"/>
        </w:rPr>
        <w:t>2023年度</w:t>
      </w:r>
      <w:bookmarkStart w:id="0" w:name="_GoBack"/>
      <w:r>
        <w:rPr>
          <w:rFonts w:hint="eastAsia" w:ascii="方正小标宋简体" w:eastAsia="方正小标宋简体"/>
          <w:bCs/>
          <w:kern w:val="0"/>
          <w:sz w:val="36"/>
          <w:szCs w:val="21"/>
        </w:rPr>
        <w:t>湖北省科学技术奖</w:t>
      </w:r>
      <w:bookmarkEnd w:id="0"/>
      <w:r>
        <w:rPr>
          <w:rFonts w:hint="eastAsia" w:ascii="方正小标宋简体" w:eastAsia="方正小标宋简体"/>
          <w:bCs/>
          <w:kern w:val="0"/>
          <w:sz w:val="36"/>
          <w:szCs w:val="21"/>
        </w:rPr>
        <w:t>公示表（自然科学）</w:t>
      </w:r>
    </w:p>
    <w:p>
      <w:pPr>
        <w:spacing w:before="156" w:beforeLines="50" w:after="156" w:afterLines="50" w:line="400" w:lineRule="exact"/>
        <w:jc w:val="center"/>
        <w:rPr>
          <w:rFonts w:ascii="方正小标宋简体" w:eastAsia="方正小标宋简体"/>
          <w:bCs/>
          <w:sz w:val="36"/>
          <w:szCs w:val="21"/>
        </w:rPr>
      </w:pPr>
      <w:r>
        <w:rPr>
          <w:rFonts w:hint="eastAsia" w:ascii="方正仿宋_GBK" w:eastAsia="方正仿宋_GBK"/>
          <w:sz w:val="28"/>
        </w:rPr>
        <w:t>项目名称、提名者及提名意见、项目简介、代表性论文专著目录、主要完成人（完成单位）</w:t>
      </w:r>
    </w:p>
    <w:tbl>
      <w:tblPr>
        <w:tblStyle w:val="6"/>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45"/>
        <w:gridCol w:w="1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项目名称</w:t>
            </w:r>
          </w:p>
        </w:tc>
        <w:tc>
          <w:tcPr>
            <w:tcW w:w="11198" w:type="dxa"/>
            <w:vAlign w:val="center"/>
          </w:tcPr>
          <w:p>
            <w:pPr>
              <w:spacing w:line="240" w:lineRule="exact"/>
              <w:jc w:val="center"/>
              <w:rPr>
                <w:rFonts w:ascii="黑体" w:hAnsi="黑体" w:eastAsia="黑体" w:cs="黑体"/>
                <w:kern w:val="0"/>
                <w:sz w:val="21"/>
                <w:szCs w:val="21"/>
              </w:rPr>
            </w:pPr>
            <w:r>
              <w:rPr>
                <w:rFonts w:hint="eastAsia" w:ascii="宋体" w:hAnsi="宋体" w:eastAsia="宋体" w:cs="黑体"/>
                <w:kern w:val="0"/>
                <w:sz w:val="21"/>
                <w:szCs w:val="21"/>
              </w:rPr>
              <w:t>5G移动通信系统高能效机理研究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提名单位</w:t>
            </w:r>
          </w:p>
        </w:tc>
        <w:tc>
          <w:tcPr>
            <w:tcW w:w="11198" w:type="dxa"/>
            <w:vAlign w:val="center"/>
          </w:tcPr>
          <w:p>
            <w:pPr>
              <w:spacing w:line="240" w:lineRule="exact"/>
              <w:jc w:val="center"/>
              <w:rPr>
                <w:rFonts w:ascii="宋体" w:hAnsi="宋体" w:eastAsia="宋体" w:cs="宋体"/>
                <w:kern w:val="0"/>
                <w:sz w:val="21"/>
                <w:szCs w:val="21"/>
              </w:rPr>
            </w:pPr>
            <w:r>
              <w:rPr>
                <w:rFonts w:hint="eastAsia" w:ascii="宋体" w:hAnsi="宋体" w:eastAsia="宋体" w:cs="宋体"/>
                <w:kern w:val="0"/>
                <w:sz w:val="22"/>
                <w:szCs w:val="22"/>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提名意见</w:t>
            </w:r>
          </w:p>
        </w:tc>
        <w:tc>
          <w:tcPr>
            <w:tcW w:w="11198" w:type="dxa"/>
            <w:vAlign w:val="center"/>
          </w:tcPr>
          <w:p>
            <w:pPr>
              <w:spacing w:line="240" w:lineRule="exact"/>
              <w:ind w:firstLine="448" w:firstLineChars="200"/>
              <w:jc w:val="both"/>
              <w:rPr>
                <w:rFonts w:ascii="宋体" w:hAnsi="宋体" w:eastAsia="宋体" w:cs="宋体"/>
                <w:color w:val="000000"/>
                <w:kern w:val="0"/>
                <w:sz w:val="22"/>
                <w:szCs w:val="20"/>
                <w:lang w:bidi="ar"/>
              </w:rPr>
            </w:pPr>
            <w:r>
              <w:rPr>
                <w:rFonts w:hint="eastAsia" w:ascii="宋体" w:hAnsi="宋体" w:eastAsia="宋体" w:cs="宋体"/>
                <w:color w:val="000000"/>
                <w:spacing w:val="2"/>
                <w:kern w:val="0"/>
                <w:sz w:val="22"/>
                <w:szCs w:val="22"/>
                <w:lang w:bidi="ar"/>
              </w:rPr>
              <w:t>（</w:t>
            </w:r>
            <w:r>
              <w:rPr>
                <w:rFonts w:hint="eastAsia" w:ascii="宋体" w:hAnsi="宋体" w:eastAsia="宋体" w:cs="宋体"/>
                <w:color w:val="000000"/>
                <w:spacing w:val="2"/>
                <w:kern w:val="0"/>
                <w:sz w:val="21"/>
                <w:szCs w:val="21"/>
                <w:lang w:bidi="ar"/>
              </w:rPr>
              <w:t>不超过600字，</w:t>
            </w:r>
            <w:r>
              <w:rPr>
                <w:rFonts w:hint="eastAsia" w:ascii="宋体" w:hAnsi="宋体" w:eastAsia="宋体"/>
                <w:kern w:val="0"/>
                <w:sz w:val="21"/>
                <w:szCs w:val="21"/>
              </w:rPr>
              <w:t>根据项目创造性特点，科学技术水平和应用情况并参照相应奖类条件写明提名理由和结论性意见，并填写提名意见和提名等级。</w:t>
            </w:r>
            <w:r>
              <w:rPr>
                <w:rFonts w:hint="eastAsia" w:ascii="宋体" w:hAnsi="宋体" w:eastAsia="宋体" w:cs="宋体"/>
                <w:color w:val="000000"/>
                <w:kern w:val="0"/>
                <w:sz w:val="21"/>
                <w:szCs w:val="21"/>
                <w:lang w:bidi="ar"/>
              </w:rPr>
              <w:t>）</w:t>
            </w:r>
          </w:p>
          <w:p>
            <w:pPr>
              <w:spacing w:line="240" w:lineRule="exact"/>
              <w:ind w:firstLine="440" w:firstLineChars="200"/>
              <w:jc w:val="both"/>
              <w:rPr>
                <w:rFonts w:eastAsia="宋体" w:cs="Times New Roman"/>
                <w:bCs/>
                <w:color w:val="000000"/>
                <w:kern w:val="0"/>
                <w:sz w:val="22"/>
                <w:szCs w:val="22"/>
                <w:lang w:bidi="ar"/>
              </w:rPr>
            </w:pPr>
            <w:r>
              <w:rPr>
                <w:rFonts w:eastAsia="宋体" w:cs="Times New Roman"/>
                <w:bCs/>
                <w:color w:val="000000"/>
                <w:kern w:val="0"/>
                <w:sz w:val="22"/>
                <w:szCs w:val="22"/>
                <w:lang w:bidi="ar"/>
              </w:rPr>
              <w:t>项目围绕5G网络大规模部署所面临的高能耗难题在国家自然科学基金重大项目、国家863重点项目等支持下，率先在高能效通信领域重大科学问题上进行深入探索，通过近十年的系统研究，突破了长期困扰学术界的基础性难题，为发展5G移动通信系统能效理论体系做出了创造性贡献。其主要贡献包括提出了5G超密集蜂窝组网新体制，建立了5G高能效网络拓扑优化理论体系，进而形成了5G高能效无线接入新机制。上述理论成果不仅获得了国际学术界的广泛认可，如代表作被评选为IEEE通信学会领域最佳论文</w:t>
            </w:r>
            <w:r>
              <w:rPr>
                <w:rFonts w:hint="eastAsia" w:eastAsia="宋体" w:cs="Times New Roman"/>
                <w:bCs/>
                <w:color w:val="000000"/>
                <w:kern w:val="0"/>
                <w:sz w:val="22"/>
                <w:szCs w:val="22"/>
                <w:lang w:bidi="ar"/>
              </w:rPr>
              <w:t>，入选世界互联网大会领先科技奖、IET全球工程创新奖</w:t>
            </w:r>
            <w:r>
              <w:rPr>
                <w:rFonts w:eastAsia="宋体" w:cs="Times New Roman"/>
                <w:bCs/>
                <w:color w:val="000000"/>
                <w:kern w:val="0"/>
                <w:sz w:val="22"/>
                <w:szCs w:val="22"/>
                <w:lang w:bidi="ar"/>
              </w:rPr>
              <w:t>，而且转化为实际产品应用到</w:t>
            </w:r>
            <w:r>
              <w:rPr>
                <w:rFonts w:hint="eastAsia" w:eastAsia="宋体" w:cs="Times New Roman"/>
                <w:bCs/>
                <w:color w:val="000000"/>
                <w:kern w:val="0"/>
                <w:sz w:val="22"/>
                <w:szCs w:val="22"/>
                <w:lang w:bidi="ar"/>
              </w:rPr>
              <w:t>国家南水北调重大工程中的5G水务物联网监控系统，</w:t>
            </w:r>
            <w:r>
              <w:rPr>
                <w:rFonts w:eastAsia="宋体" w:cs="Times New Roman"/>
                <w:bCs/>
                <w:color w:val="000000"/>
                <w:kern w:val="0"/>
                <w:sz w:val="22"/>
                <w:szCs w:val="22"/>
                <w:lang w:bidi="ar"/>
              </w:rPr>
              <w:t>江西省180多个水库监控系统，解决野外水利工程设施安全监测、水雨情监测与组网难题，服务于国家新基建战略发展</w:t>
            </w:r>
            <w:r>
              <w:rPr>
                <w:rFonts w:hint="eastAsia" w:eastAsia="宋体" w:cs="Times New Roman"/>
                <w:bCs/>
                <w:color w:val="000000"/>
                <w:kern w:val="0"/>
                <w:sz w:val="22"/>
                <w:szCs w:val="22"/>
                <w:lang w:bidi="ar"/>
              </w:rPr>
              <w:t>，连续培养三名国家科技创新/创业领军人才</w:t>
            </w:r>
            <w:r>
              <w:rPr>
                <w:rFonts w:eastAsia="宋体" w:cs="Times New Roman"/>
                <w:bCs/>
                <w:color w:val="000000"/>
                <w:kern w:val="0"/>
                <w:sz w:val="22"/>
                <w:szCs w:val="22"/>
                <w:lang w:bidi="ar"/>
              </w:rPr>
              <w:t>。</w:t>
            </w:r>
          </w:p>
          <w:p>
            <w:pPr>
              <w:spacing w:line="240" w:lineRule="exact"/>
              <w:ind w:firstLine="440" w:firstLineChars="200"/>
              <w:jc w:val="both"/>
              <w:rPr>
                <w:rFonts w:ascii="宋体" w:hAnsi="宋体" w:eastAsia="宋体" w:cs="宋体"/>
                <w:bCs/>
                <w:color w:val="000000"/>
                <w:kern w:val="0"/>
                <w:sz w:val="21"/>
                <w:szCs w:val="21"/>
                <w:lang w:bidi="ar"/>
              </w:rPr>
            </w:pPr>
            <w:r>
              <w:rPr>
                <w:rFonts w:hint="eastAsia" w:ascii="宋体" w:hAnsi="宋体" w:eastAsia="宋体" w:cs="宋体"/>
                <w:bCs/>
                <w:color w:val="000000"/>
                <w:kern w:val="0"/>
                <w:sz w:val="22"/>
                <w:szCs w:val="22"/>
                <w:lang w:bidi="ar"/>
              </w:rPr>
              <w:t>提名该项目为202</w:t>
            </w:r>
            <w:r>
              <w:rPr>
                <w:rFonts w:ascii="宋体" w:hAnsi="宋体" w:eastAsia="宋体" w:cs="宋体"/>
                <w:bCs/>
                <w:color w:val="000000"/>
                <w:kern w:val="0"/>
                <w:sz w:val="22"/>
                <w:szCs w:val="22"/>
                <w:lang w:bidi="ar"/>
              </w:rPr>
              <w:t>3</w:t>
            </w:r>
            <w:r>
              <w:rPr>
                <w:rFonts w:hint="eastAsia" w:ascii="宋体" w:hAnsi="宋体" w:eastAsia="宋体" w:cs="宋体"/>
                <w:bCs/>
                <w:color w:val="000000"/>
                <w:kern w:val="0"/>
                <w:sz w:val="22"/>
                <w:szCs w:val="22"/>
                <w:lang w:bidi="ar"/>
              </w:rPr>
              <w:t>年度湖北省自然科学奖</w:t>
            </w:r>
            <w:r>
              <w:rPr>
                <w:rFonts w:hint="eastAsia" w:ascii="宋体" w:hAnsi="宋体" w:eastAsia="宋体" w:cs="宋体"/>
                <w:bCs/>
                <w:color w:val="000000"/>
                <w:kern w:val="0"/>
                <w:sz w:val="22"/>
                <w:szCs w:val="22"/>
                <w:u w:val="single"/>
                <w:lang w:bidi="ar"/>
              </w:rPr>
              <w:t xml:space="preserve">   </w:t>
            </w:r>
            <w:r>
              <w:rPr>
                <w:rFonts w:ascii="宋体" w:hAnsi="宋体" w:eastAsia="宋体" w:cs="宋体"/>
                <w:bCs/>
                <w:color w:val="000000"/>
                <w:kern w:val="0"/>
                <w:sz w:val="22"/>
                <w:szCs w:val="22"/>
                <w:u w:val="single"/>
                <w:lang w:bidi="ar"/>
              </w:rPr>
              <w:t xml:space="preserve"> </w:t>
            </w:r>
            <w:r>
              <w:rPr>
                <w:rFonts w:hint="eastAsia" w:ascii="宋体" w:hAnsi="宋体" w:eastAsia="宋体" w:cs="宋体"/>
                <w:bCs/>
                <w:color w:val="000000"/>
                <w:kern w:val="0"/>
                <w:sz w:val="22"/>
                <w:szCs w:val="22"/>
                <w:u w:val="single"/>
                <w:lang w:bidi="ar"/>
              </w:rPr>
              <w:t xml:space="preserve">一    </w:t>
            </w:r>
            <w:r>
              <w:rPr>
                <w:rFonts w:hint="eastAsia" w:ascii="宋体" w:hAnsi="宋体" w:eastAsia="宋体" w:cs="宋体"/>
                <w:bCs/>
                <w:color w:val="000000"/>
                <w:kern w:val="0"/>
                <w:sz w:val="22"/>
                <w:szCs w:val="22"/>
                <w:lang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kern w:val="0"/>
                <w:sz w:val="22"/>
                <w:szCs w:val="20"/>
              </w:rPr>
            </w:pPr>
            <w:r>
              <w:rPr>
                <w:rFonts w:hint="eastAsia" w:ascii="黑体" w:hAnsi="黑体" w:eastAsia="黑体" w:cs="黑体"/>
                <w:kern w:val="0"/>
                <w:sz w:val="22"/>
                <w:szCs w:val="20"/>
              </w:rPr>
              <w:t>项目简介</w:t>
            </w:r>
          </w:p>
        </w:tc>
        <w:tc>
          <w:tcPr>
            <w:tcW w:w="11198" w:type="dxa"/>
            <w:vAlign w:val="center"/>
          </w:tcPr>
          <w:p>
            <w:pPr>
              <w:spacing w:line="240" w:lineRule="exact"/>
              <w:ind w:firstLine="420" w:firstLineChars="200"/>
              <w:rPr>
                <w:rFonts w:eastAsia="宋体" w:cs="Times New Roman"/>
                <w:kern w:val="0"/>
                <w:sz w:val="21"/>
                <w:szCs w:val="21"/>
              </w:rPr>
            </w:pPr>
            <w:r>
              <w:rPr>
                <w:rFonts w:eastAsia="宋体" w:cs="Times New Roman"/>
                <w:kern w:val="0"/>
                <w:sz w:val="21"/>
                <w:szCs w:val="21"/>
              </w:rPr>
              <w:t>本项目属于信息与通信工程领域。</w:t>
            </w:r>
          </w:p>
          <w:p>
            <w:pPr>
              <w:spacing w:line="240" w:lineRule="exact"/>
              <w:ind w:firstLine="420" w:firstLineChars="200"/>
              <w:rPr>
                <w:rFonts w:eastAsia="宋体" w:cs="Times New Roman"/>
                <w:kern w:val="0"/>
                <w:sz w:val="21"/>
                <w:szCs w:val="21"/>
              </w:rPr>
            </w:pPr>
            <w:r>
              <w:rPr>
                <w:rFonts w:eastAsia="宋体" w:cs="Times New Roman"/>
                <w:kern w:val="0"/>
                <w:sz w:val="21"/>
                <w:szCs w:val="21"/>
              </w:rPr>
              <w:t>建设以5G移动通信系统为核心的新基建是我国实现产业升级的战略需求，然而5G网络带来1000倍以上的无线流量增长使得全球电信产业陷入“瓦特限制比特”困境，如何解决海量无线流量增长与5G移动通信系统能耗受限的突出矛盾，已成为当前5G通信系统大规模部署应用的主要挑战，解决上述问题需要从基础理论上破解5G移动通信系统能效机理核心难题，国际学术界围绕上述挑战展开了研究但始终缺乏系统的理论体系完整解决核心难题。</w:t>
            </w:r>
          </w:p>
          <w:p>
            <w:pPr>
              <w:spacing w:line="240" w:lineRule="exact"/>
              <w:ind w:firstLine="420" w:firstLineChars="200"/>
              <w:rPr>
                <w:rFonts w:eastAsia="宋体" w:cs="Times New Roman"/>
                <w:kern w:val="0"/>
                <w:sz w:val="21"/>
                <w:szCs w:val="21"/>
              </w:rPr>
            </w:pPr>
            <w:r>
              <w:rPr>
                <w:rFonts w:eastAsia="宋体" w:cs="Times New Roman"/>
                <w:kern w:val="0"/>
                <w:sz w:val="21"/>
                <w:szCs w:val="21"/>
              </w:rPr>
              <w:t>面向5G超密集组网架构、基站拓扑理论以及大容量低延时接入等极具挑战课题，项目组在国家自然科学基金重大项目、国家863重点项目等支持下，率先在高能效通信领域重大科学问题上进行深入探索，通过近十年的系统研究，突破了长期困扰学术界的基础性难题，为发展5G移动通信系统能效理论体系做出了创造性贡献。主要成果包括：</w:t>
            </w:r>
          </w:p>
          <w:p>
            <w:pPr>
              <w:spacing w:line="240" w:lineRule="exact"/>
              <w:ind w:firstLine="420" w:firstLineChars="200"/>
              <w:rPr>
                <w:rFonts w:eastAsia="宋体" w:cs="Times New Roman"/>
                <w:kern w:val="0"/>
                <w:sz w:val="21"/>
                <w:szCs w:val="21"/>
              </w:rPr>
            </w:pPr>
            <w:r>
              <w:rPr>
                <w:rFonts w:eastAsia="宋体" w:cs="Times New Roman"/>
                <w:kern w:val="0"/>
                <w:sz w:val="21"/>
                <w:szCs w:val="21"/>
              </w:rPr>
              <w:t>（1）5G超密集蜂窝组网新体制：</w:t>
            </w:r>
          </w:p>
          <w:p>
            <w:pPr>
              <w:spacing w:line="240" w:lineRule="exact"/>
              <w:ind w:firstLine="420" w:firstLineChars="200"/>
              <w:rPr>
                <w:rFonts w:eastAsia="宋体" w:cs="Times New Roman"/>
                <w:kern w:val="0"/>
                <w:sz w:val="21"/>
                <w:szCs w:val="21"/>
              </w:rPr>
            </w:pPr>
            <w:r>
              <w:rPr>
                <w:rFonts w:eastAsia="宋体" w:cs="Times New Roman"/>
                <w:kern w:val="0"/>
                <w:sz w:val="21"/>
                <w:szCs w:val="21"/>
              </w:rPr>
              <w:t>发现了5G基站空间分布密度与网络吞吐量和能效之间的饱和效应，打破了近半个世纪蜂窝网吞吐量/能效随基站密度增长的定论，首次揭示了5G蜂窝网是一种密度受限无线通信系统，系统阐明了网络体系架构对能效和吞吐量的作用机制，提出了分布式超密集组网体系架构，将新一代蜂窝网能效提升超过100倍，被国际电信行业组织（5G Americas）推荐为新一代蜂窝网解决方案，荣获IEEE通信学会领域最佳论文。</w:t>
            </w:r>
          </w:p>
          <w:p>
            <w:pPr>
              <w:spacing w:line="240" w:lineRule="exact"/>
              <w:ind w:firstLine="420" w:firstLineChars="200"/>
              <w:rPr>
                <w:rFonts w:eastAsia="宋体" w:cs="Times New Roman"/>
                <w:kern w:val="0"/>
                <w:sz w:val="21"/>
                <w:szCs w:val="21"/>
              </w:rPr>
            </w:pPr>
            <w:r>
              <w:rPr>
                <w:rFonts w:eastAsia="宋体" w:cs="Times New Roman"/>
                <w:kern w:val="0"/>
                <w:sz w:val="21"/>
                <w:szCs w:val="21"/>
              </w:rPr>
              <w:t>（2）5G高能效网络拓扑优化理论：</w:t>
            </w:r>
          </w:p>
          <w:p>
            <w:pPr>
              <w:spacing w:line="240" w:lineRule="exact"/>
              <w:ind w:firstLine="420" w:firstLineChars="200"/>
              <w:rPr>
                <w:rFonts w:eastAsia="宋体" w:cs="Times New Roman"/>
                <w:kern w:val="0"/>
                <w:sz w:val="21"/>
                <w:szCs w:val="21"/>
              </w:rPr>
            </w:pPr>
            <w:r>
              <w:rPr>
                <w:rFonts w:eastAsia="宋体" w:cs="Times New Roman"/>
                <w:kern w:val="0"/>
                <w:sz w:val="21"/>
                <w:szCs w:val="21"/>
              </w:rPr>
              <w:t>揭示了移动网络信息与能量在空间、时间和频率域的多维多尺度分布本质规律，首次阐明了移动网络能效与基站拓扑分布、业务流、信道约束的交互耦合机理，攻克了网络能效多维非线性解耦优化的根本性难题，提出了移动通信网络能效全局协调优化理论体系。美国科学院/加拿大工程院双院士Boukerche教授指出代表性论文揭示了移动网络空间、频谱和能效内在作用规律，奠定了无线网络能效优化理论基础。研究成果转化为OPPO公司5G终端数据传输优化软件，相同能效下可最大提升5G手机速率10倍。</w:t>
            </w:r>
          </w:p>
          <w:p>
            <w:pPr>
              <w:spacing w:line="240" w:lineRule="exact"/>
              <w:ind w:firstLine="420" w:firstLineChars="200"/>
              <w:rPr>
                <w:rFonts w:eastAsia="宋体" w:cs="Times New Roman"/>
                <w:kern w:val="0"/>
                <w:sz w:val="21"/>
                <w:szCs w:val="21"/>
              </w:rPr>
            </w:pPr>
            <w:r>
              <w:rPr>
                <w:rFonts w:eastAsia="宋体" w:cs="Times New Roman"/>
                <w:kern w:val="0"/>
                <w:sz w:val="21"/>
                <w:szCs w:val="21"/>
              </w:rPr>
              <w:t>（3）5G高能效无线接入新机制：</w:t>
            </w:r>
          </w:p>
          <w:p>
            <w:pPr>
              <w:spacing w:line="240" w:lineRule="exact"/>
              <w:ind w:firstLine="420" w:firstLineChars="200"/>
              <w:rPr>
                <w:rFonts w:eastAsia="宋体" w:cs="Times New Roman"/>
                <w:kern w:val="0"/>
                <w:sz w:val="21"/>
                <w:szCs w:val="21"/>
              </w:rPr>
            </w:pPr>
            <w:r>
              <w:rPr>
                <w:rFonts w:eastAsia="宋体" w:cs="Times New Roman"/>
                <w:kern w:val="0"/>
                <w:sz w:val="21"/>
                <w:szCs w:val="21"/>
              </w:rPr>
              <w:t>揭示了5G物联网应用场景中各种异构终端接入信号的抗干扰价值，建立了超密集组网环境的物联网系统模型，提出了感知邻居状态的随机多址接入机制，比国际上广泛采用的分布式协调方法机制大幅度降低碰撞概率，中国信通院实测系统验证本项目提出的多址接入机制可以提升能效2倍，提高吞吐量1倍，并降低平均接入时延1倍。研究成果依托华中科技大学完成为国际电信联盟标准提案。</w:t>
            </w:r>
          </w:p>
          <w:p>
            <w:pPr>
              <w:spacing w:line="240" w:lineRule="exact"/>
              <w:ind w:firstLine="420" w:firstLineChars="200"/>
              <w:rPr>
                <w:rFonts w:eastAsia="宋体" w:cs="Times New Roman"/>
                <w:kern w:val="0"/>
                <w:sz w:val="21"/>
                <w:szCs w:val="21"/>
              </w:rPr>
            </w:pPr>
            <w:r>
              <w:rPr>
                <w:rFonts w:eastAsia="宋体" w:cs="Times New Roman"/>
                <w:kern w:val="0"/>
                <w:sz w:val="21"/>
                <w:szCs w:val="21"/>
              </w:rPr>
              <w:t>依托项目成果构建了5G移动通信系统高能效理论体系及优化方法，出版国内外专著5部，发表SCI论文超过300篇，其中ESI高被引论文15篇。5篇代表作中3篇是ESI高被引论文（含1篇ESI热点论文，TOP 0.1%），2篇国内期刊代表作是发表在Science China Information Science和IEEE China Communications（国内通信领域影响因子排名第1和第2期刊），5篇代表作Web of Science核心数据库总他引1144次，单篇谷歌学术最高引用超过1243次，得到全球68个国家和地区的102位院士和ACM/IEEE Fellow正面评价，核心研究成果以无形资产作价3000万元人民币投资入股江西水利投资集团公司，开发的技术和产品应用到江西省180多个水库监控系统，解决野外水利工程设施安全监测、水雨情监测与组网难题，服务于国家新基建战略发展。第一完成人担任国家绿色通信与网络国际联合研究中心主任</w:t>
            </w:r>
            <w:r>
              <w:rPr>
                <w:rFonts w:hint="eastAsia" w:eastAsia="宋体" w:cs="Times New Roman"/>
                <w:kern w:val="0"/>
                <w:sz w:val="21"/>
                <w:szCs w:val="21"/>
              </w:rPr>
              <w:t>、入选国家科技创新领军人才、</w:t>
            </w:r>
            <w:r>
              <w:rPr>
                <w:rFonts w:eastAsia="宋体" w:cs="Times New Roman"/>
                <w:kern w:val="0"/>
                <w:sz w:val="21"/>
                <w:szCs w:val="21"/>
              </w:rPr>
              <w:t>IET和中国通信学会会士</w:t>
            </w:r>
            <w:r>
              <w:rPr>
                <w:rFonts w:hint="eastAsia" w:eastAsia="宋体" w:cs="Times New Roman"/>
                <w:kern w:val="0"/>
                <w:sz w:val="21"/>
                <w:szCs w:val="21"/>
              </w:rPr>
              <w:t>、</w:t>
            </w:r>
            <w:r>
              <w:rPr>
                <w:rFonts w:eastAsia="宋体" w:cs="Times New Roman"/>
                <w:kern w:val="0"/>
                <w:sz w:val="21"/>
                <w:szCs w:val="21"/>
              </w:rPr>
              <w:t>IEEE杰出讲师</w:t>
            </w:r>
            <w:r>
              <w:rPr>
                <w:rFonts w:hint="eastAsia" w:eastAsia="宋体" w:cs="Times New Roman"/>
                <w:kern w:val="0"/>
                <w:sz w:val="21"/>
                <w:szCs w:val="21"/>
              </w:rPr>
              <w:t>、</w:t>
            </w:r>
            <w:r>
              <w:rPr>
                <w:rFonts w:eastAsia="宋体" w:cs="Times New Roman"/>
                <w:kern w:val="0"/>
                <w:sz w:val="21"/>
                <w:szCs w:val="21"/>
              </w:rPr>
              <w:t>IEEE绿色通信国际会议总主席，担任IEEE Wireless Communications（IF=11，无线通信研究类期刊排名第一）及其他9个国际通信领域期刊编委，受邀在13个国际会议做绿色通信前沿方向专题报告。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39" w:type="dxa"/>
            <w:vAlign w:val="center"/>
          </w:tcPr>
          <w:p>
            <w:pPr>
              <w:spacing w:line="280" w:lineRule="exact"/>
              <w:jc w:val="center"/>
              <w:rPr>
                <w:rFonts w:ascii="黑体" w:hAnsi="黑体" w:eastAsia="黑体" w:cs="黑体"/>
                <w:kern w:val="0"/>
                <w:sz w:val="22"/>
                <w:szCs w:val="20"/>
              </w:rPr>
            </w:pPr>
            <w:r>
              <w:rPr>
                <w:rFonts w:hint="eastAsia" w:ascii="黑体" w:hAnsi="黑体" w:eastAsia="黑体" w:cs="黑体"/>
                <w:kern w:val="0"/>
                <w:sz w:val="22"/>
                <w:szCs w:val="20"/>
              </w:rPr>
              <w:t>主要完成人</w:t>
            </w:r>
          </w:p>
          <w:p>
            <w:pPr>
              <w:spacing w:line="280" w:lineRule="exact"/>
              <w:jc w:val="center"/>
              <w:rPr>
                <w:kern w:val="0"/>
                <w:sz w:val="22"/>
                <w:szCs w:val="20"/>
              </w:rPr>
            </w:pPr>
            <w:r>
              <w:rPr>
                <w:rFonts w:hint="eastAsia" w:ascii="黑体" w:hAnsi="黑体" w:eastAsia="黑体" w:cs="黑体"/>
                <w:kern w:val="0"/>
                <w:sz w:val="22"/>
                <w:szCs w:val="20"/>
              </w:rPr>
              <w:t>（完成单位）</w:t>
            </w:r>
          </w:p>
        </w:tc>
        <w:tc>
          <w:tcPr>
            <w:tcW w:w="11198" w:type="dxa"/>
            <w:vAlign w:val="center"/>
          </w:tcPr>
          <w:p>
            <w:pPr>
              <w:spacing w:line="24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葛晓虎（华中科技大学），钟祎（华中科技大学），张武雄（中国科学院上海微系统与信息技术研究所），杨旸（中国科学院上海微系统与信息技术研究所）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637" w:type="dxa"/>
            <w:gridSpan w:val="2"/>
            <w:vAlign w:val="center"/>
          </w:tcPr>
          <w:tbl>
            <w:tblPr>
              <w:tblStyle w:val="6"/>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606" w:type="dxa"/>
                  <w:vAlign w:val="center"/>
                </w:tcPr>
                <w:tbl>
                  <w:tblPr>
                    <w:tblStyle w:val="6"/>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3606" w:type="dxa"/>
                        <w:vAlign w:val="center"/>
                      </w:tcPr>
                      <w:tbl>
                        <w:tblPr>
                          <w:tblStyle w:val="6"/>
                          <w:tblpPr w:leftFromText="180" w:rightFromText="180" w:vertAnchor="text" w:horzAnchor="page" w:tblpX="-13" w:tblpY="365"/>
                          <w:tblOverlap w:val="never"/>
                          <w:tblW w:w="13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27"/>
                          <w:gridCol w:w="3490"/>
                          <w:gridCol w:w="2531"/>
                          <w:gridCol w:w="1639"/>
                          <w:gridCol w:w="1689"/>
                          <w:gridCol w:w="161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927" w:type="dxa"/>
                              <w:vAlign w:val="center"/>
                            </w:tcPr>
                            <w:p>
                              <w:pPr>
                                <w:pStyle w:val="4"/>
                                <w:widowControl w:val="0"/>
                                <w:adjustRightInd w:val="0"/>
                                <w:snapToGrid w:val="0"/>
                                <w:spacing w:line="240" w:lineRule="auto"/>
                                <w:jc w:val="center"/>
                                <w:rPr>
                                  <w:rFonts w:eastAsia="黑体" w:cs="Times New Roman"/>
                                  <w:color w:val="000000"/>
                                  <w:kern w:val="0"/>
                                  <w:sz w:val="18"/>
                                  <w:szCs w:val="18"/>
                                  <w:lang w:bidi="ar"/>
                                </w:rPr>
                              </w:pPr>
                              <w:r>
                                <w:rPr>
                                  <w:rFonts w:eastAsia="黑体" w:cs="Times New Roman"/>
                                  <w:color w:val="000000"/>
                                  <w:kern w:val="0"/>
                                  <w:sz w:val="18"/>
                                  <w:szCs w:val="18"/>
                                  <w:lang w:bidi="ar"/>
                                </w:rPr>
                                <w:t>序号</w:t>
                              </w:r>
                            </w:p>
                          </w:tc>
                          <w:tc>
                            <w:tcPr>
                              <w:tcW w:w="3490"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论文（专著）名称/刊名/作者</w:t>
                              </w:r>
                            </w:p>
                          </w:tc>
                          <w:tc>
                            <w:tcPr>
                              <w:tcW w:w="2531"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年、卷、页码</w:t>
                              </w:r>
                            </w:p>
                          </w:tc>
                          <w:tc>
                            <w:tcPr>
                              <w:tcW w:w="1639"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发表时间（年月日）</w:t>
                              </w:r>
                            </w:p>
                          </w:tc>
                          <w:tc>
                            <w:tcPr>
                              <w:tcW w:w="1689"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通讯作者（含共同）</w:t>
                              </w:r>
                            </w:p>
                          </w:tc>
                          <w:tc>
                            <w:tcPr>
                              <w:tcW w:w="1610"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第一作者（含共同）</w:t>
                              </w:r>
                            </w:p>
                          </w:tc>
                          <w:tc>
                            <w:tcPr>
                              <w:tcW w:w="1731" w:type="dxa"/>
                              <w:vAlign w:val="center"/>
                            </w:tcPr>
                            <w:p>
                              <w:pPr>
                                <w:snapToGrid w:val="0"/>
                                <w:spacing w:line="240" w:lineRule="auto"/>
                                <w:jc w:val="center"/>
                                <w:rPr>
                                  <w:rFonts w:eastAsia="黑体" w:cs="Times New Roman"/>
                                  <w:color w:val="000000"/>
                                  <w:kern w:val="0"/>
                                  <w:sz w:val="18"/>
                                  <w:szCs w:val="18"/>
                                  <w:lang w:bidi="ar"/>
                                </w:rPr>
                              </w:pPr>
                              <w:r>
                                <w:rPr>
                                  <w:rFonts w:eastAsia="黑体" w:cs="Times New Roman"/>
                                  <w:color w:val="000000"/>
                                  <w:kern w:val="2"/>
                                  <w:sz w:val="18"/>
                                  <w:szCs w:val="18"/>
                                  <w:lang w:bidi="ar"/>
                                </w:rPr>
                                <w:t>国内作者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eastAsia="宋体" w:cs="Times New Roman"/>
                                  <w:color w:val="000000"/>
                                  <w:kern w:val="0"/>
                                  <w:sz w:val="18"/>
                                  <w:szCs w:val="18"/>
                                </w:rPr>
                              </w:pPr>
                              <w:r>
                                <w:rPr>
                                  <w:rFonts w:eastAsia="宋体" w:cs="Times New Roman"/>
                                  <w:color w:val="000000"/>
                                  <w:kern w:val="0"/>
                                  <w:sz w:val="18"/>
                                  <w:szCs w:val="18"/>
                                  <w:lang w:bidi="ar"/>
                                </w:rPr>
                                <w:t>1</w:t>
                              </w:r>
                            </w:p>
                          </w:tc>
                          <w:tc>
                            <w:tcPr>
                              <w:tcW w:w="3490" w:type="dxa"/>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“5G Ultra-Dense Cellular Networks”, IEEE Wireless Communications, Xiaohu Ge (葛晓虎), S. Tu, G. Mao, C.-X. Wang and T. Han（JCR一区论文，ESI高被引论文）</w:t>
                              </w:r>
                            </w:p>
                          </w:tc>
                          <w:tc>
                            <w:tcPr>
                              <w:tcW w:w="25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 vol. 23, no. 1, pp.72-79</w:t>
                              </w:r>
                            </w:p>
                          </w:tc>
                          <w:tc>
                            <w:tcPr>
                              <w:tcW w:w="163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2016-02</w:t>
                              </w:r>
                            </w:p>
                          </w:tc>
                          <w:tc>
                            <w:tcPr>
                              <w:tcW w:w="168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韩涛</w:t>
                              </w:r>
                            </w:p>
                          </w:tc>
                          <w:tc>
                            <w:tcPr>
                              <w:tcW w:w="1610"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葛晓虎</w:t>
                              </w:r>
                            </w:p>
                          </w:tc>
                          <w:tc>
                            <w:tcPr>
                              <w:tcW w:w="17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涂松</w:t>
                              </w:r>
                              <w:r>
                                <w:rPr>
                                  <w:rFonts w:hint="eastAsia" w:eastAsia="宋体" w:cs="Times New Roman"/>
                                  <w:kern w:val="0"/>
                                  <w:sz w:val="21"/>
                                  <w:szCs w:val="21"/>
                                </w:rPr>
                                <w:t>，韩涛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eastAsia="宋体" w:cs="Times New Roman"/>
                                  <w:color w:val="000000"/>
                                  <w:kern w:val="0"/>
                                  <w:sz w:val="18"/>
                                  <w:szCs w:val="18"/>
                                </w:rPr>
                              </w:pPr>
                              <w:r>
                                <w:rPr>
                                  <w:rFonts w:eastAsia="宋体" w:cs="Times New Roman"/>
                                  <w:color w:val="000000"/>
                                  <w:kern w:val="0"/>
                                  <w:sz w:val="18"/>
                                  <w:szCs w:val="18"/>
                                  <w:lang w:bidi="ar"/>
                                </w:rPr>
                                <w:t>2</w:t>
                              </w:r>
                            </w:p>
                          </w:tc>
                          <w:tc>
                            <w:tcPr>
                              <w:tcW w:w="3490" w:type="dxa"/>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“5G wireless backhaul networks: challenges and research advances”, IEEE Network, Xiaohu Ge(葛晓虎), H. Cheng, M. Guizani, Tao Han（JCR一区论文，ESI热点论文及高被引论文）</w:t>
                              </w:r>
                            </w:p>
                          </w:tc>
                          <w:tc>
                            <w:tcPr>
                              <w:tcW w:w="25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2014, vol. 28, no. 6, pp. 6-11</w:t>
                              </w:r>
                            </w:p>
                          </w:tc>
                          <w:tc>
                            <w:tcPr>
                              <w:tcW w:w="163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2014-11</w:t>
                              </w:r>
                            </w:p>
                          </w:tc>
                          <w:tc>
                            <w:tcPr>
                              <w:tcW w:w="168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韩涛</w:t>
                              </w:r>
                            </w:p>
                          </w:tc>
                          <w:tc>
                            <w:tcPr>
                              <w:tcW w:w="1610"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葛晓虎</w:t>
                              </w:r>
                            </w:p>
                          </w:tc>
                          <w:tc>
                            <w:tcPr>
                              <w:tcW w:w="17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程慧</w:t>
                              </w:r>
                              <w:r>
                                <w:rPr>
                                  <w:rFonts w:hint="eastAsia" w:eastAsia="宋体" w:cs="Times New Roman"/>
                                  <w:kern w:val="0"/>
                                  <w:sz w:val="21"/>
                                  <w:szCs w:val="21"/>
                                </w:rPr>
                                <w:t>，韩涛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eastAsia="宋体" w:cs="Times New Roman"/>
                                  <w:color w:val="000000"/>
                                  <w:kern w:val="0"/>
                                  <w:sz w:val="18"/>
                                  <w:szCs w:val="18"/>
                                </w:rPr>
                              </w:pPr>
                              <w:r>
                                <w:rPr>
                                  <w:rFonts w:eastAsia="宋体" w:cs="Times New Roman"/>
                                  <w:color w:val="000000"/>
                                  <w:kern w:val="0"/>
                                  <w:sz w:val="18"/>
                                  <w:szCs w:val="18"/>
                                  <w:lang w:bidi="ar"/>
                                </w:rPr>
                                <w:t>3</w:t>
                              </w:r>
                            </w:p>
                          </w:tc>
                          <w:tc>
                            <w:tcPr>
                              <w:tcW w:w="3490" w:type="dxa"/>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 xml:space="preserve">“Heterogeneous Cellular Networks with Spatio-Temporal Traffic: Delay Analysis and Scheduling”, IEEE Journal on Selected Areas in Communications, Y. Zhong (钟祎), T. Q.S. Quek, and </w:t>
                              </w:r>
                              <w:r>
                                <w:rPr>
                                  <w:rFonts w:hint="eastAsia" w:eastAsiaTheme="minorEastAsia"/>
                                  <w:kern w:val="0"/>
                                  <w:sz w:val="20"/>
                                  <w:szCs w:val="20"/>
                                </w:rPr>
                                <w:t>Xiaohu</w:t>
                              </w:r>
                              <w:r>
                                <w:rPr>
                                  <w:rFonts w:eastAsia="宋体" w:cs="Times New Roman"/>
                                  <w:kern w:val="0"/>
                                  <w:sz w:val="21"/>
                                  <w:szCs w:val="21"/>
                                </w:rPr>
                                <w:t xml:space="preserve"> Ge (葛晓虎)（JCR一区论文，ESI高被引论文）</w:t>
                              </w:r>
                            </w:p>
                          </w:tc>
                          <w:tc>
                            <w:tcPr>
                              <w:tcW w:w="25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2017, vol. 35, no. 6, pp. 1373-1386</w:t>
                              </w:r>
                            </w:p>
                          </w:tc>
                          <w:tc>
                            <w:tcPr>
                              <w:tcW w:w="163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2017-06</w:t>
                              </w:r>
                            </w:p>
                          </w:tc>
                          <w:tc>
                            <w:tcPr>
                              <w:tcW w:w="168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葛晓虎</w:t>
                              </w:r>
                            </w:p>
                          </w:tc>
                          <w:tc>
                            <w:tcPr>
                              <w:tcW w:w="1610"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钟祎</w:t>
                              </w:r>
                            </w:p>
                          </w:tc>
                          <w:tc>
                            <w:tcPr>
                              <w:tcW w:w="17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eastAsia="宋体" w:cs="Times New Roman"/>
                                  <w:color w:val="000000"/>
                                  <w:kern w:val="0"/>
                                  <w:sz w:val="18"/>
                                  <w:szCs w:val="18"/>
                                </w:rPr>
                              </w:pPr>
                              <w:r>
                                <w:rPr>
                                  <w:rFonts w:eastAsia="宋体" w:cs="Times New Roman"/>
                                  <w:color w:val="000000"/>
                                  <w:kern w:val="0"/>
                                  <w:sz w:val="18"/>
                                  <w:szCs w:val="18"/>
                                  <w:lang w:bidi="ar"/>
                                </w:rPr>
                                <w:t>4</w:t>
                              </w:r>
                            </w:p>
                          </w:tc>
                          <w:tc>
                            <w:tcPr>
                              <w:tcW w:w="3490" w:type="dxa"/>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“Neighbor-Aware Multiple Access Protocol for 5G mMTC Applications”, IEEE China Communications, Yang Yang（杨旸）, G. Song, W. Zhang, Xiaohu Ge（葛晓虎）, C.-X. Wang</w:t>
                              </w:r>
                            </w:p>
                          </w:tc>
                          <w:tc>
                            <w:tcPr>
                              <w:tcW w:w="25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 vol. 34, no. 4, pp. 80-88</w:t>
                              </w:r>
                            </w:p>
                          </w:tc>
                          <w:tc>
                            <w:tcPr>
                              <w:tcW w:w="163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2016-04</w:t>
                              </w:r>
                            </w:p>
                          </w:tc>
                          <w:tc>
                            <w:tcPr>
                              <w:tcW w:w="168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杨旸</w:t>
                              </w:r>
                            </w:p>
                          </w:tc>
                          <w:tc>
                            <w:tcPr>
                              <w:tcW w:w="1610"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杨旸</w:t>
                              </w:r>
                            </w:p>
                          </w:tc>
                          <w:tc>
                            <w:tcPr>
                              <w:tcW w:w="17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hint="eastAsia" w:eastAsia="宋体" w:cs="Times New Roman"/>
                                  <w:color w:val="000000"/>
                                  <w:kern w:val="0"/>
                                  <w:sz w:val="21"/>
                                  <w:szCs w:val="21"/>
                                </w:rPr>
                                <w:t>宋冠男，张武雄，葛晓虎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927" w:type="dxa"/>
                              <w:vAlign w:val="center"/>
                            </w:tcPr>
                            <w:p>
                              <w:pPr>
                                <w:pStyle w:val="4"/>
                                <w:widowControl w:val="0"/>
                                <w:adjustRightInd w:val="0"/>
                                <w:spacing w:line="240" w:lineRule="exact"/>
                                <w:jc w:val="center"/>
                                <w:outlineLvl w:val="1"/>
                                <w:rPr>
                                  <w:rFonts w:eastAsia="宋体" w:cs="Times New Roman"/>
                                  <w:color w:val="000000"/>
                                  <w:kern w:val="0"/>
                                  <w:sz w:val="18"/>
                                  <w:szCs w:val="18"/>
                                </w:rPr>
                              </w:pPr>
                              <w:r>
                                <w:rPr>
                                  <w:rFonts w:eastAsia="宋体" w:cs="Times New Roman"/>
                                  <w:color w:val="000000"/>
                                  <w:kern w:val="0"/>
                                  <w:sz w:val="18"/>
                                  <w:szCs w:val="18"/>
                                  <w:lang w:bidi="ar"/>
                                </w:rPr>
                                <w:t>5</w:t>
                              </w:r>
                            </w:p>
                          </w:tc>
                          <w:tc>
                            <w:tcPr>
                              <w:tcW w:w="3490" w:type="dxa"/>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“5G Green Cellular Networks considering Power Allocation Schemes”, Science China Information Sciences</w:t>
                              </w:r>
                              <w:r>
                                <w:rPr>
                                  <w:rFonts w:hint="eastAsia" w:eastAsia="宋体" w:cs="Times New Roman"/>
                                  <w:kern w:val="0"/>
                                  <w:sz w:val="21"/>
                                  <w:szCs w:val="21"/>
                                </w:rPr>
                                <w:t>,</w:t>
                              </w:r>
                              <w:r>
                                <w:rPr>
                                  <w:rFonts w:eastAsia="宋体" w:cs="Times New Roman"/>
                                  <w:kern w:val="0"/>
                                  <w:sz w:val="21"/>
                                  <w:szCs w:val="21"/>
                                </w:rPr>
                                <w:t xml:space="preserve"> Xiaohu Ge（葛晓虎）, J. Chen, C.-X. Wang, T. John and Jing Zhang（张靖）</w:t>
                              </w:r>
                            </w:p>
                          </w:tc>
                          <w:tc>
                            <w:tcPr>
                              <w:tcW w:w="25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w:t>
                              </w:r>
                              <w:r>
                                <w:rPr>
                                  <w:rFonts w:hint="eastAsia" w:eastAsia="宋体" w:cs="Times New Roman"/>
                                  <w:kern w:val="0"/>
                                  <w:sz w:val="21"/>
                                  <w:szCs w:val="21"/>
                                </w:rPr>
                                <w:t>,</w:t>
                              </w:r>
                              <w:r>
                                <w:rPr>
                                  <w:rFonts w:eastAsia="宋体" w:cs="Times New Roman"/>
                                  <w:kern w:val="0"/>
                                  <w:sz w:val="21"/>
                                  <w:szCs w:val="21"/>
                                </w:rPr>
                                <w:t xml:space="preserve"> vol. 59, no. 2, pp. 1-14</w:t>
                              </w:r>
                            </w:p>
                          </w:tc>
                          <w:tc>
                            <w:tcPr>
                              <w:tcW w:w="163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2016-02</w:t>
                              </w:r>
                            </w:p>
                          </w:tc>
                          <w:tc>
                            <w:tcPr>
                              <w:tcW w:w="1689"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张靖</w:t>
                              </w:r>
                            </w:p>
                          </w:tc>
                          <w:tc>
                            <w:tcPr>
                              <w:tcW w:w="1610"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eastAsia="宋体" w:cs="Times New Roman"/>
                                  <w:kern w:val="0"/>
                                  <w:sz w:val="21"/>
                                  <w:szCs w:val="21"/>
                                </w:rPr>
                                <w:t>葛晓虎</w:t>
                              </w:r>
                            </w:p>
                          </w:tc>
                          <w:tc>
                            <w:tcPr>
                              <w:tcW w:w="1731" w:type="dxa"/>
                              <w:vAlign w:val="center"/>
                            </w:tcPr>
                            <w:p>
                              <w:pPr>
                                <w:pStyle w:val="4"/>
                                <w:widowControl w:val="0"/>
                                <w:adjustRightInd w:val="0"/>
                                <w:spacing w:line="240" w:lineRule="exact"/>
                                <w:jc w:val="center"/>
                                <w:outlineLvl w:val="1"/>
                                <w:rPr>
                                  <w:rFonts w:eastAsia="宋体" w:cs="Times New Roman"/>
                                  <w:color w:val="000000"/>
                                  <w:kern w:val="0"/>
                                  <w:sz w:val="21"/>
                                  <w:szCs w:val="21"/>
                                </w:rPr>
                              </w:pPr>
                              <w:r>
                                <w:rPr>
                                  <w:rFonts w:hint="eastAsia" w:eastAsia="宋体" w:cs="Times New Roman"/>
                                  <w:color w:val="000000"/>
                                  <w:kern w:val="0"/>
                                  <w:sz w:val="21"/>
                                  <w:szCs w:val="21"/>
                                </w:rPr>
                                <w:t>陈嘉琦</w:t>
                              </w:r>
                            </w:p>
                          </w:tc>
                        </w:tr>
                      </w:tbl>
                      <w:p>
                        <w:pPr>
                          <w:pStyle w:val="4"/>
                          <w:widowControl w:val="0"/>
                          <w:adjustRightInd w:val="0"/>
                          <w:spacing w:line="240" w:lineRule="exact"/>
                          <w:jc w:val="center"/>
                          <w:outlineLvl w:val="1"/>
                          <w:rPr>
                            <w:rFonts w:eastAsia="黑体" w:cs="Times New Roman"/>
                            <w:color w:val="000000"/>
                            <w:kern w:val="0"/>
                            <w:sz w:val="22"/>
                            <w:szCs w:val="20"/>
                            <w:lang w:bidi="ar"/>
                          </w:rPr>
                        </w:pPr>
                      </w:p>
                    </w:tc>
                  </w:tr>
                </w:tbl>
                <w:p>
                  <w:pPr>
                    <w:pStyle w:val="4"/>
                    <w:widowControl w:val="0"/>
                    <w:adjustRightInd w:val="0"/>
                    <w:spacing w:line="240" w:lineRule="exact"/>
                    <w:jc w:val="center"/>
                    <w:outlineLvl w:val="1"/>
                    <w:rPr>
                      <w:rFonts w:eastAsia="黑体" w:cs="Times New Roman"/>
                      <w:color w:val="000000"/>
                      <w:kern w:val="0"/>
                      <w:sz w:val="22"/>
                      <w:szCs w:val="20"/>
                      <w:lang w:bidi="ar"/>
                    </w:rPr>
                  </w:pPr>
                </w:p>
              </w:tc>
            </w:tr>
          </w:tbl>
          <w:p>
            <w:pPr>
              <w:pStyle w:val="4"/>
              <w:widowControl w:val="0"/>
              <w:adjustRightInd w:val="0"/>
              <w:spacing w:line="240" w:lineRule="exact"/>
              <w:jc w:val="center"/>
              <w:outlineLvl w:val="1"/>
              <w:rPr>
                <w:rFonts w:ascii="黑体" w:hAnsi="黑体" w:eastAsia="黑体" w:cs="黑体"/>
                <w:color w:val="000000"/>
                <w:kern w:val="0"/>
                <w:sz w:val="22"/>
                <w:szCs w:val="20"/>
                <w:lang w:bidi="ar"/>
              </w:rPr>
            </w:pPr>
          </w:p>
        </w:tc>
      </w:tr>
    </w:tbl>
    <w:p>
      <w:pPr>
        <w:spacing w:before="156" w:beforeLines="50" w:after="156" w:afterLines="50" w:line="400" w:lineRule="exact"/>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9"/>
    <w:rsid w:val="000128C1"/>
    <w:rsid w:val="00036971"/>
    <w:rsid w:val="00060A89"/>
    <w:rsid w:val="00062A65"/>
    <w:rsid w:val="00144CBA"/>
    <w:rsid w:val="001C06E6"/>
    <w:rsid w:val="001C39B9"/>
    <w:rsid w:val="001F3093"/>
    <w:rsid w:val="002145BD"/>
    <w:rsid w:val="0026455A"/>
    <w:rsid w:val="0026784E"/>
    <w:rsid w:val="002A6B25"/>
    <w:rsid w:val="002B42C9"/>
    <w:rsid w:val="00346D10"/>
    <w:rsid w:val="003624C6"/>
    <w:rsid w:val="003D6BCA"/>
    <w:rsid w:val="00415D4C"/>
    <w:rsid w:val="004626C0"/>
    <w:rsid w:val="004C3810"/>
    <w:rsid w:val="004D284C"/>
    <w:rsid w:val="004F3D5E"/>
    <w:rsid w:val="00575D89"/>
    <w:rsid w:val="00732F32"/>
    <w:rsid w:val="007B00F5"/>
    <w:rsid w:val="00855E9E"/>
    <w:rsid w:val="00886845"/>
    <w:rsid w:val="0089720A"/>
    <w:rsid w:val="008B53EA"/>
    <w:rsid w:val="009124B6"/>
    <w:rsid w:val="009342A2"/>
    <w:rsid w:val="009618BF"/>
    <w:rsid w:val="009651CD"/>
    <w:rsid w:val="009974C7"/>
    <w:rsid w:val="009A3C54"/>
    <w:rsid w:val="00A035B6"/>
    <w:rsid w:val="00A33039"/>
    <w:rsid w:val="00B42FF4"/>
    <w:rsid w:val="00B64DCC"/>
    <w:rsid w:val="00B758CA"/>
    <w:rsid w:val="00C1702C"/>
    <w:rsid w:val="00CC45DB"/>
    <w:rsid w:val="00CE48C6"/>
    <w:rsid w:val="00D11F05"/>
    <w:rsid w:val="00D14190"/>
    <w:rsid w:val="00E1298B"/>
    <w:rsid w:val="00ED5A84"/>
    <w:rsid w:val="00EE194E"/>
    <w:rsid w:val="00EF376F"/>
    <w:rsid w:val="00F602E3"/>
    <w:rsid w:val="00FC0C0A"/>
    <w:rsid w:val="00FE427B"/>
    <w:rsid w:val="58B3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imes New Roman" w:hAnsi="Times New Roman" w:eastAsia="仿宋_GB2312" w:cstheme="minorBidi"/>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qFormat/>
    <w:uiPriority w:val="99"/>
    <w:rPr>
      <w:sz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rFonts w:ascii="Times New Roman" w:hAnsi="Times New Roman" w:eastAsia="仿宋_GB2312"/>
      <w:sz w:val="18"/>
      <w:szCs w:val="18"/>
    </w:rPr>
  </w:style>
  <w:style w:type="character" w:customStyle="1" w:styleId="9">
    <w:name w:val="页脚 字符"/>
    <w:basedOn w:val="7"/>
    <w:link w:val="2"/>
    <w:qFormat/>
    <w:uiPriority w:val="99"/>
    <w:rPr>
      <w:rFonts w:ascii="Times New Roman" w:hAnsi="Times New Roman" w:eastAsia="仿宋_GB2312"/>
      <w:sz w:val="18"/>
      <w:szCs w:val="18"/>
    </w:rPr>
  </w:style>
  <w:style w:type="paragraph" w:customStyle="1" w:styleId="10">
    <w:name w:val="Revision"/>
    <w:hidden/>
    <w:semiHidden/>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511</Words>
  <Characters>2914</Characters>
  <Lines>24</Lines>
  <Paragraphs>6</Paragraphs>
  <TotalTime>4</TotalTime>
  <ScaleCrop>false</ScaleCrop>
  <LinksUpToDate>false</LinksUpToDate>
  <CharactersWithSpaces>3419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2023-11-04T11:49:00Z</dcterms:created>
  <dc:creator>Lenovo</dc:creator>
  <cp:lastModifiedBy>Coloring</cp:lastModifiedBy>
  <dcterms:modified xsi:type="dcterms:W3CDTF">2023-11-07T07:54:54Z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E930F8E9A9844733B6109A979908E685_13</vt:lpwstr>
  </property>
</Properties>
</file>