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3"/>
          <w:rFonts w:ascii="黑体" w:hAnsi="黑体" w:eastAsia="黑体" w:cstheme="minorBidi"/>
          <w:b/>
          <w:sz w:val="32"/>
          <w:szCs w:val="28"/>
        </w:rPr>
      </w:pP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拟从中国科学院提名</w:t>
      </w:r>
      <w:r>
        <w:rPr>
          <w:rStyle w:val="13"/>
          <w:rFonts w:hint="eastAsia" w:ascii="黑体" w:hAnsi="黑体" w:eastAsia="黑体" w:cstheme="minorBidi"/>
          <w:b/>
          <w:sz w:val="32"/>
          <w:szCs w:val="28"/>
          <w:lang w:val="en-US" w:eastAsia="zh-CN"/>
        </w:rPr>
        <w:t>申报</w:t>
      </w: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2023年度国家科学技术奖项目的公示表</w:t>
      </w:r>
      <w:bookmarkStart w:id="1" w:name="_GoBack"/>
      <w:bookmarkEnd w:id="1"/>
    </w:p>
    <w:p>
      <w:pPr>
        <w:jc w:val="center"/>
        <w:rPr>
          <w:rStyle w:val="13"/>
          <w:rFonts w:ascii="黑体" w:hAnsi="黑体" w:eastAsia="黑体" w:cstheme="minorBidi"/>
          <w:b/>
          <w:sz w:val="32"/>
          <w:szCs w:val="28"/>
        </w:rPr>
      </w:pP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（</w:t>
      </w:r>
      <w:bookmarkStart w:id="0" w:name="_Toc496794408"/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国家自然科学奖</w:t>
      </w:r>
      <w:bookmarkEnd w:id="0"/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）</w:t>
      </w:r>
    </w:p>
    <w:p>
      <w:pPr>
        <w:pStyle w:val="2"/>
      </w:pPr>
    </w:p>
    <w:tbl>
      <w:tblPr>
        <w:tblStyle w:val="6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51"/>
        <w:gridCol w:w="147"/>
        <w:gridCol w:w="708"/>
        <w:gridCol w:w="851"/>
        <w:gridCol w:w="850"/>
        <w:gridCol w:w="1138"/>
        <w:gridCol w:w="1134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项目</w:t>
            </w:r>
            <w:r>
              <w:rPr>
                <w:rFonts w:hint="eastAsia" w:ascii="Times New Roman"/>
                <w:sz w:val="21"/>
              </w:rPr>
              <w:t>名称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太赫兹半导体量子级联激光器</w:t>
            </w:r>
            <w:r>
              <w:rPr>
                <w:rFonts w:hint="eastAsia" w:ascii="Times New Roman"/>
                <w:sz w:val="21"/>
              </w:rPr>
              <w:t>与</w:t>
            </w:r>
            <w:r>
              <w:rPr>
                <w:rFonts w:ascii="Times New Roman"/>
                <w:sz w:val="21"/>
              </w:rPr>
              <w:t>探测器</w:t>
            </w:r>
            <w:r>
              <w:rPr>
                <w:rFonts w:hint="eastAsia" w:ascii="Times New Roman"/>
                <w:sz w:val="21"/>
              </w:rPr>
              <w:t>物理、器件及其应用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提名</w:t>
            </w:r>
            <w:r>
              <w:rPr>
                <w:rFonts w:hint="eastAsia" w:ascii="Times New Roman"/>
                <w:sz w:val="21"/>
              </w:rPr>
              <w:t>者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中国科学院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主要完成人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（完成单位）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pStyle w:val="3"/>
              <w:spacing w:line="30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曹俊诚  </w:t>
            </w:r>
            <w:r>
              <w:rPr>
                <w:rFonts w:hint="eastAsia" w:ascii="Times New Roman"/>
                <w:sz w:val="21"/>
                <w:lang w:val="en-US" w:eastAsia="zh-CN"/>
              </w:rPr>
              <w:t xml:space="preserve">  </w:t>
            </w:r>
            <w:r>
              <w:rPr>
                <w:rFonts w:ascii="Times New Roman"/>
                <w:sz w:val="21"/>
              </w:rPr>
              <w:t>中国科学院上海微系统与信息技术研究所</w:t>
            </w:r>
          </w:p>
          <w:p>
            <w:pPr>
              <w:pStyle w:val="3"/>
              <w:spacing w:line="30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谭智勇    中国科学院上海微系统与信息技术研究所</w:t>
            </w:r>
          </w:p>
          <w:p>
            <w:pPr>
              <w:pStyle w:val="3"/>
              <w:spacing w:line="30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黎华   </w:t>
            </w:r>
            <w:r>
              <w:rPr>
                <w:rFonts w:hint="eastAsia" w:ascii="Times New Roman"/>
                <w:sz w:val="21"/>
                <w:lang w:val="en-US" w:eastAsia="zh-CN"/>
              </w:rPr>
              <w:t xml:space="preserve">  </w:t>
            </w:r>
            <w:r>
              <w:rPr>
                <w:rFonts w:ascii="Times New Roman"/>
                <w:sz w:val="21"/>
              </w:rPr>
              <w:t xml:space="preserve"> 中国科学院上海微系统与信息技术研究所</w:t>
            </w:r>
          </w:p>
          <w:p>
            <w:pPr>
              <w:pStyle w:val="3"/>
              <w:spacing w:line="30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万文坚    中国科学院上海微系统与信息技术研究所</w:t>
            </w:r>
          </w:p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王长  </w:t>
            </w:r>
            <w:r>
              <w:rPr>
                <w:rFonts w:hint="eastAsia" w:ascii="Times New Roman"/>
                <w:sz w:val="21"/>
                <w:lang w:val="en-US" w:eastAsia="zh-CN"/>
              </w:rPr>
              <w:t xml:space="preserve">    </w:t>
            </w:r>
            <w:r>
              <w:rPr>
                <w:rFonts w:ascii="Times New Roman"/>
                <w:sz w:val="21"/>
              </w:rPr>
              <w:t>中国科学院上海微系统与信息技术研究所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9488" w:type="dxa"/>
            <w:gridSpan w:val="9"/>
            <w:vAlign w:val="center"/>
          </w:tcPr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代表性论文</w:t>
            </w:r>
            <w:r>
              <w:rPr>
                <w:rFonts w:hint="eastAsia" w:ascii="Times New Roman"/>
                <w:sz w:val="21"/>
              </w:rPr>
              <w:t>（专著）目录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序号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论文</w:t>
            </w:r>
            <w:r>
              <w:rPr>
                <w:rFonts w:hint="eastAsia" w:ascii="Times New Roman"/>
                <w:sz w:val="20"/>
              </w:rPr>
              <w:t>（</w:t>
            </w:r>
            <w:r>
              <w:rPr>
                <w:rFonts w:ascii="Times New Roman"/>
                <w:sz w:val="20"/>
              </w:rPr>
              <w:t>专著</w:t>
            </w:r>
            <w:r>
              <w:rPr>
                <w:rFonts w:hint="eastAsia" w:ascii="Times New Roman"/>
                <w:sz w:val="20"/>
              </w:rPr>
              <w:t>）</w:t>
            </w:r>
          </w:p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名称/刊名</w:t>
            </w:r>
          </w:p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/作者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年卷页码</w:t>
            </w:r>
          </w:p>
          <w:p>
            <w:pPr>
              <w:pStyle w:val="3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（xx年xx卷</w:t>
            </w:r>
          </w:p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xx页）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发表时间（年月 日）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通讯作者（含共同）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第一作者（含共同）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国内作者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《半导体太赫兹源、探测器与应用》，科学出版社，2012年，北京。曹俊诚  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2012年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2012年2月</w:t>
            </w:r>
            <w:r>
              <w:rPr>
                <w:rFonts w:hint="eastAsia" w:ascii="Times New Roman"/>
                <w:sz w:val="21"/>
                <w:szCs w:val="21"/>
              </w:rPr>
              <w:t>1日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曹俊诚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曹俊诚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曹俊诚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Interband impact ionization and nonlinear absorption of terahertz radiations in semiconductor heterostructures, Physical Review Letters, 91(23), (2003), 237401-1~237401-4. J. C. Cao*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2003年第91卷237401-1~237401-4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2003年12月5日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曹俊诚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曹俊诚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曹俊诚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Monte Carlo simulation of hot phonon effects in resonant-phonon-assisted terahertz quantum-cascade lasers, Applied Physics Letters, 88(6), (2006), 061119-1~061119-3. J. T. Lü and J. C. Cao* 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2006年第88卷</w:t>
            </w:r>
          </w:p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061119-1~061119-3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2006年2月9</w:t>
            </w:r>
            <w:r>
              <w:rPr>
                <w:rFonts w:hint="eastAsia" w:ascii="Times New Roman"/>
                <w:sz w:val="21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曹俊诚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吕京涛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吕京涛</w:t>
            </w:r>
            <w:r>
              <w:rPr>
                <w:rFonts w:hint="eastAsia" w:ascii="Times New Roman"/>
                <w:sz w:val="21"/>
                <w:szCs w:val="21"/>
              </w:rPr>
              <w:t>，</w:t>
            </w:r>
            <w:r>
              <w:rPr>
                <w:rFonts w:ascii="Times New Roman"/>
                <w:sz w:val="21"/>
                <w:szCs w:val="21"/>
              </w:rPr>
              <w:t>曹俊诚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Homogeneous spectral broadening of pulsed terahertz quantum cascade lasers by radio frequency modulation, Optics Express, 26(2), (2018), 980~989. W. J. Wan, H. Li*, and J. C. Cao*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2018年第26卷</w:t>
            </w:r>
          </w:p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980~989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2018年1月10</w:t>
            </w:r>
            <w:r>
              <w:rPr>
                <w:rFonts w:hint="eastAsia" w:ascii="Times New Roman"/>
                <w:sz w:val="21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黎华</w:t>
            </w:r>
            <w:r>
              <w:rPr>
                <w:rFonts w:hint="eastAsia" w:ascii="Times New Roman"/>
                <w:sz w:val="21"/>
                <w:szCs w:val="21"/>
              </w:rPr>
              <w:t>，</w:t>
            </w:r>
            <w:r>
              <w:rPr>
                <w:rFonts w:ascii="Times New Roman"/>
                <w:sz w:val="21"/>
                <w:szCs w:val="21"/>
              </w:rPr>
              <w:t>曹俊诚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万文坚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万文坚，黎华，</w:t>
            </w:r>
            <w:r>
              <w:rPr>
                <w:rFonts w:ascii="Times New Roman"/>
                <w:sz w:val="21"/>
                <w:szCs w:val="21"/>
              </w:rPr>
              <w:t>曹俊诚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left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An efficient terahertz polarization converter with highly flexible tunability over an ultra-broad bandwidth</w:t>
            </w:r>
            <w:r>
              <w:rPr>
                <w:rFonts w:hint="eastAsia" w:ascii="Times New Roman"/>
                <w:sz w:val="21"/>
                <w:szCs w:val="21"/>
              </w:rPr>
              <w:t>, J. Appl</w:t>
            </w:r>
            <w:r>
              <w:rPr>
                <w:rFonts w:ascii="Times New Roman"/>
                <w:sz w:val="21"/>
                <w:szCs w:val="21"/>
              </w:rPr>
              <w:t xml:space="preserve">. Phys. 125, </w:t>
            </w:r>
            <w:r>
              <w:rPr>
                <w:rFonts w:hint="eastAsia" w:ascii="Times New Roman"/>
                <w:sz w:val="21"/>
                <w:szCs w:val="21"/>
              </w:rPr>
              <w:t xml:space="preserve">144901 </w:t>
            </w:r>
            <w:r>
              <w:rPr>
                <w:rFonts w:ascii="Times New Roman"/>
                <w:sz w:val="21"/>
                <w:szCs w:val="21"/>
              </w:rPr>
              <w:t>(2019). X. Q. Luo, Z. Y. Tan*, W. J. Wan, C. Wang, and J. C. Cao*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2</w:t>
            </w:r>
            <w:r>
              <w:rPr>
                <w:rFonts w:ascii="Times New Roman"/>
                <w:sz w:val="21"/>
                <w:szCs w:val="21"/>
              </w:rPr>
              <w:t>019</w:t>
            </w:r>
            <w:r>
              <w:rPr>
                <w:rFonts w:hint="eastAsia" w:ascii="Times New Roman"/>
                <w:sz w:val="21"/>
                <w:szCs w:val="21"/>
              </w:rPr>
              <w:t>年第1</w:t>
            </w:r>
            <w:r>
              <w:rPr>
                <w:rFonts w:ascii="Times New Roman"/>
                <w:sz w:val="21"/>
                <w:szCs w:val="21"/>
              </w:rPr>
              <w:t>25</w:t>
            </w:r>
            <w:r>
              <w:rPr>
                <w:rFonts w:hint="eastAsia" w:ascii="Times New Roman"/>
                <w:sz w:val="21"/>
                <w:szCs w:val="21"/>
              </w:rPr>
              <w:t>卷</w:t>
            </w:r>
          </w:p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144901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2019年4月9</w:t>
            </w:r>
            <w:r>
              <w:rPr>
                <w:rFonts w:hint="eastAsia" w:ascii="Times New Roman"/>
                <w:sz w:val="21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谭智勇，曹俊诚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罗小青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罗小青，谭智勇，万文坚，王长，曹俊诚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firstLine="0" w:firstLineChars="0"/>
              <w:jc w:val="center"/>
              <w:outlineLvl w:val="1"/>
              <w:rPr>
                <w:rFonts w:ascii="Times New Roman" w:eastAsia="仿宋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否</w:t>
            </w:r>
          </w:p>
        </w:tc>
      </w:tr>
    </w:tbl>
    <w:p>
      <w:pPr>
        <w:pStyle w:val="2"/>
        <w:spacing w:after="0"/>
        <w:rPr>
          <w:rFonts w:ascii="Times New Roman" w:hAnsi="Times New Roman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yNGQ2ZDJhN2E3ZjY2NTE3Y2M4N2YyYTJmMTBjYzYifQ=="/>
  </w:docVars>
  <w:rsids>
    <w:rsidRoot w:val="001E5D5D"/>
    <w:rsid w:val="000E532B"/>
    <w:rsid w:val="000F15E9"/>
    <w:rsid w:val="00106E7E"/>
    <w:rsid w:val="001655F0"/>
    <w:rsid w:val="001E32B4"/>
    <w:rsid w:val="001E5D5D"/>
    <w:rsid w:val="0031453E"/>
    <w:rsid w:val="003145C1"/>
    <w:rsid w:val="0035576D"/>
    <w:rsid w:val="00363327"/>
    <w:rsid w:val="00471708"/>
    <w:rsid w:val="004912D7"/>
    <w:rsid w:val="004A442F"/>
    <w:rsid w:val="004C50DC"/>
    <w:rsid w:val="00532531"/>
    <w:rsid w:val="00606C4E"/>
    <w:rsid w:val="006110BF"/>
    <w:rsid w:val="006878E2"/>
    <w:rsid w:val="006A44A1"/>
    <w:rsid w:val="007160C1"/>
    <w:rsid w:val="007A4D24"/>
    <w:rsid w:val="009615BF"/>
    <w:rsid w:val="009B5DB9"/>
    <w:rsid w:val="00A4284B"/>
    <w:rsid w:val="00A85110"/>
    <w:rsid w:val="00CC12D5"/>
    <w:rsid w:val="00D82342"/>
    <w:rsid w:val="00DE5B9E"/>
    <w:rsid w:val="00DE6F2A"/>
    <w:rsid w:val="00EC2039"/>
    <w:rsid w:val="0112244E"/>
    <w:rsid w:val="02FF7A7B"/>
    <w:rsid w:val="067D4077"/>
    <w:rsid w:val="1D823682"/>
    <w:rsid w:val="2022735C"/>
    <w:rsid w:val="3C813E09"/>
    <w:rsid w:val="58DC476B"/>
    <w:rsid w:val="7AC01BE1"/>
    <w:rsid w:val="7D1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0"/>
    <w:pPr>
      <w:spacing w:after="120"/>
    </w:pPr>
  </w:style>
  <w:style w:type="paragraph" w:styleId="3">
    <w:name w:val="Plain Text"/>
    <w:basedOn w:val="1"/>
    <w:link w:val="10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8"/>
    <w:basedOn w:val="1"/>
    <w:next w:val="1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9">
    <w:name w:val="正文文本 字符"/>
    <w:basedOn w:val="7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0">
    <w:name w:val="纯文本 字符"/>
    <w:basedOn w:val="7"/>
    <w:link w:val="3"/>
    <w:autoRedefine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1">
    <w:name w:val="页眉 字符"/>
    <w:basedOn w:val="7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article_title1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333</Words>
  <Characters>1900</Characters>
  <Lines>15</Lines>
  <Paragraphs>4</Paragraphs>
  <TotalTime>0</TotalTime>
  <ScaleCrop>false</ScaleCrop>
  <LinksUpToDate>false</LinksUpToDate>
  <CharactersWithSpaces>2229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2024-01-02T08:19:00Z</dcterms:created>
  <dc:creator>永胜 曾</dc:creator>
  <cp:lastModifiedBy>Coloring</cp:lastModifiedBy>
  <cp:lastPrinted>2023-12-22T05:15:00Z</cp:lastPrinted>
  <dcterms:modified xsi:type="dcterms:W3CDTF">2024-01-03T04:49:58Z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25CC497C40FD49E792DF9579410FF9FE_13</vt:lpwstr>
  </property>
</Properties>
</file>